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120" w:type="dxa"/>
        <w:jc w:val="left"/>
        <w:tblInd w:w="108" w:type="dxa"/>
        <w:tblLayout w:type="fixed"/>
        <w:tblCellMar>
          <w:top w:w="0" w:type="dxa"/>
          <w:left w:w="108" w:type="dxa"/>
          <w:bottom w:w="0" w:type="dxa"/>
          <w:right w:w="108" w:type="dxa"/>
        </w:tblCellMar>
        <w:tblLook w:firstRow="1" w:noVBand="0" w:lastRow="0" w:firstColumn="1" w:lastColumn="0" w:noHBand="0" w:val="00a0"/>
      </w:tblPr>
      <w:tblGrid>
        <w:gridCol w:w="3385"/>
        <w:gridCol w:w="5734"/>
      </w:tblGrid>
      <w:tr>
        <w:trPr>
          <w:trHeight w:val="2127" w:hRule="atLeast"/>
        </w:trPr>
        <w:tc>
          <w:tcPr>
            <w:tcW w:w="3385" w:type="dxa"/>
            <w:tcBorders/>
          </w:tcPr>
          <w:p>
            <w:pPr>
              <w:pStyle w:val="HeadCir"/>
              <w:widowControl w:val="false"/>
              <w:spacing w:lineRule="auto" w:line="276"/>
              <w:jc w:val="center"/>
              <w:rPr>
                <w:sz w:val="24"/>
                <w:szCs w:val="24"/>
              </w:rPr>
            </w:pPr>
            <w:r>
              <w:rPr/>
              <w:drawing>
                <wp:inline distT="0" distB="0" distL="0" distR="0">
                  <wp:extent cx="1371600" cy="1304925"/>
                  <wp:effectExtent l="0" t="0" r="0" b="0"/>
                  <wp:docPr id="1" name="Picture 1" descr="logo zeleni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zelenilo"/>
                          <pic:cNvPicPr>
                            <a:picLocks noChangeAspect="1" noChangeArrowheads="1"/>
                          </pic:cNvPicPr>
                        </pic:nvPicPr>
                        <pic:blipFill>
                          <a:blip r:embed="rId2"/>
                          <a:stretch>
                            <a:fillRect/>
                          </a:stretch>
                        </pic:blipFill>
                        <pic:spPr bwMode="auto">
                          <a:xfrm>
                            <a:off x="0" y="0"/>
                            <a:ext cx="1371600" cy="1304925"/>
                          </a:xfrm>
                          <a:prstGeom prst="rect">
                            <a:avLst/>
                          </a:prstGeom>
                        </pic:spPr>
                      </pic:pic>
                    </a:graphicData>
                  </a:graphic>
                </wp:inline>
              </w:drawing>
            </w:r>
          </w:p>
        </w:tc>
        <w:tc>
          <w:tcPr>
            <w:tcW w:w="5734" w:type="dxa"/>
            <w:tcBorders/>
          </w:tcPr>
          <w:p>
            <w:pPr>
              <w:pStyle w:val="HeadCir"/>
              <w:widowControl w:val="false"/>
              <w:spacing w:lineRule="auto" w:line="276"/>
              <w:rPr>
                <w:rFonts w:ascii="Arial" w:hAnsi="Arial" w:cs="Arial"/>
                <w:b/>
                <w:sz w:val="16"/>
                <w:szCs w:val="16"/>
                <w:lang w:val="sr-CS"/>
              </w:rPr>
            </w:pPr>
            <w:r>
              <w:rPr>
                <w:rFonts w:cs="Arial" w:ascii="Arial" w:hAnsi="Arial"/>
                <w:b/>
                <w:sz w:val="16"/>
                <w:szCs w:val="16"/>
                <w:lang w:val="sr-CS"/>
              </w:rPr>
            </w:r>
          </w:p>
          <w:p>
            <w:pPr>
              <w:pStyle w:val="HeadCir"/>
              <w:widowControl w:val="false"/>
              <w:spacing w:lineRule="auto" w:line="276"/>
              <w:rPr>
                <w:rFonts w:ascii="Arial" w:hAnsi="Arial" w:cs="Arial"/>
                <w:b/>
                <w:sz w:val="32"/>
                <w:szCs w:val="32"/>
                <w:lang w:val="sr-RS"/>
              </w:rPr>
            </w:pPr>
            <w:r>
              <w:rPr>
                <w:rFonts w:cs="Arial" w:ascii="Arial" w:hAnsi="Arial"/>
                <w:b/>
                <w:sz w:val="32"/>
                <w:szCs w:val="32"/>
                <w:lang w:val="sr-Latn-CS"/>
              </w:rPr>
              <w:t xml:space="preserve">       </w:t>
            </w:r>
            <w:r>
              <w:rPr>
                <w:rFonts w:cs="Arial" w:ascii="Arial" w:hAnsi="Arial"/>
                <w:b/>
                <w:sz w:val="32"/>
                <w:szCs w:val="32"/>
                <w:lang w:val="sr-CS"/>
              </w:rPr>
              <w:t>ЈКП</w:t>
            </w:r>
            <w:r>
              <w:rPr>
                <w:rFonts w:cs="Arial" w:ascii="Arial" w:hAnsi="Arial"/>
                <w:b/>
                <w:sz w:val="32"/>
                <w:szCs w:val="32"/>
                <w:lang w:val="sr-Latn-CS"/>
              </w:rPr>
              <w:t xml:space="preserve"> „</w:t>
            </w:r>
            <w:r>
              <w:rPr>
                <w:rFonts w:cs="Arial" w:ascii="Arial" w:hAnsi="Arial"/>
                <w:b/>
                <w:sz w:val="32"/>
                <w:szCs w:val="32"/>
                <w:lang w:val="sr-CS"/>
              </w:rPr>
              <w:t>ЗЕЛЕНИЛО</w:t>
            </w:r>
            <w:r>
              <w:rPr>
                <w:rFonts w:cs="Arial" w:ascii="Arial" w:hAnsi="Arial"/>
                <w:b/>
                <w:sz w:val="32"/>
                <w:szCs w:val="32"/>
                <w:lang w:val="sr-Latn-CS"/>
              </w:rPr>
              <w:t xml:space="preserve">“ </w:t>
            </w:r>
            <w:r>
              <w:rPr>
                <w:rFonts w:cs="Arial" w:ascii="Arial" w:hAnsi="Arial"/>
                <w:b/>
                <w:sz w:val="32"/>
                <w:szCs w:val="32"/>
                <w:lang w:val="sr-CS"/>
              </w:rPr>
              <w:t>С</w:t>
            </w:r>
            <w:r>
              <w:rPr>
                <w:rFonts w:cs="Arial" w:ascii="Arial" w:hAnsi="Arial"/>
                <w:b/>
                <w:sz w:val="32"/>
                <w:szCs w:val="32"/>
                <w:lang w:val="sr-RS"/>
              </w:rPr>
              <w:t>омбор</w:t>
            </w:r>
          </w:p>
          <w:p>
            <w:pPr>
              <w:pStyle w:val="HeadCir"/>
              <w:widowControl w:val="false"/>
              <w:spacing w:lineRule="auto" w:line="276"/>
              <w:ind w:firstLine="621"/>
              <w:rPr>
                <w:rFonts w:ascii="Arial" w:hAnsi="Arial" w:cs="Arial"/>
                <w:sz w:val="28"/>
                <w:szCs w:val="28"/>
                <w:lang w:val="sr-CS"/>
              </w:rPr>
            </w:pPr>
            <w:r>
              <w:rPr>
                <w:rFonts w:cs="Arial" w:ascii="Arial" w:hAnsi="Arial"/>
                <w:sz w:val="28"/>
                <w:szCs w:val="28"/>
                <w:lang w:val="sr-CS"/>
              </w:rPr>
              <w:t>Раде Дракулића 12</w:t>
            </w:r>
          </w:p>
          <w:p>
            <w:pPr>
              <w:pStyle w:val="Normal"/>
              <w:widowControl w:val="false"/>
              <w:spacing w:lineRule="auto" w:line="276"/>
              <w:ind w:firstLine="621"/>
              <w:rPr>
                <w:rFonts w:ascii="Arial" w:hAnsi="Arial" w:cs="Arial"/>
                <w:sz w:val="28"/>
                <w:szCs w:val="28"/>
                <w:lang w:val="sr-Latn-CS"/>
              </w:rPr>
            </w:pPr>
            <w:r>
              <w:rPr>
                <w:rFonts w:cs="Arial" w:ascii="Arial" w:hAnsi="Arial"/>
                <w:sz w:val="28"/>
                <w:szCs w:val="28"/>
                <w:lang w:val="sr-CS"/>
              </w:rPr>
              <w:t>25000 Сомбор</w:t>
            </w:r>
          </w:p>
          <w:p>
            <w:pPr>
              <w:pStyle w:val="Normal"/>
              <w:widowControl w:val="false"/>
              <w:spacing w:lineRule="auto" w:line="276"/>
              <w:ind w:firstLine="621"/>
              <w:rPr>
                <w:rFonts w:ascii="Arial" w:hAnsi="Arial" w:cs="Arial"/>
                <w:sz w:val="6"/>
                <w:szCs w:val="6"/>
                <w:lang w:val="sr-Latn-CS"/>
              </w:rPr>
            </w:pPr>
            <w:r>
              <w:rPr>
                <w:rFonts w:cs="Arial" w:ascii="Arial" w:hAnsi="Arial"/>
                <w:sz w:val="6"/>
                <w:szCs w:val="6"/>
                <w:lang w:val="sr-Latn-CS"/>
              </w:rPr>
            </w:r>
          </w:p>
          <w:p>
            <w:pPr>
              <w:pStyle w:val="Normal"/>
              <w:widowControl w:val="false"/>
              <w:spacing w:lineRule="auto" w:line="276"/>
              <w:ind w:firstLine="621"/>
              <w:rPr>
                <w:rFonts w:ascii="Arial" w:hAnsi="Arial" w:cs="Arial"/>
                <w:sz w:val="28"/>
                <w:szCs w:val="28"/>
                <w:lang w:val="sr-RS"/>
              </w:rPr>
            </w:pPr>
            <w:r>
              <w:rPr>
                <w:rFonts w:cs="Arial" w:ascii="Arial" w:hAnsi="Arial"/>
                <w:sz w:val="20"/>
                <w:lang w:val="sr-CS"/>
              </w:rPr>
              <w:t>ПИБ: 10</w:t>
            </w:r>
            <w:r>
              <w:rPr>
                <w:rFonts w:cs="Arial" w:ascii="Arial" w:hAnsi="Arial"/>
                <w:sz w:val="20"/>
                <w:lang w:val="sr-RS"/>
              </w:rPr>
              <w:t>8122945</w:t>
            </w:r>
            <w:r>
              <w:rPr>
                <w:rFonts w:cs="Arial" w:ascii="Arial" w:hAnsi="Arial"/>
                <w:sz w:val="20"/>
                <w:lang w:val="sr-CS"/>
              </w:rPr>
              <w:t xml:space="preserve">   Матични</w:t>
            </w:r>
            <w:r>
              <w:rPr>
                <w:rFonts w:cs="Arial" w:ascii="Arial" w:hAnsi="Arial"/>
                <w:sz w:val="20"/>
                <w:lang w:val="sr-Latn-CS"/>
              </w:rPr>
              <w:t xml:space="preserve">: </w:t>
            </w:r>
            <w:r>
              <w:rPr>
                <w:rFonts w:cs="Arial" w:ascii="Arial" w:hAnsi="Arial"/>
                <w:sz w:val="20"/>
                <w:lang w:val="sr-RS"/>
              </w:rPr>
              <w:t>20935421</w:t>
            </w:r>
          </w:p>
          <w:p>
            <w:pPr>
              <w:pStyle w:val="Normal"/>
              <w:widowControl w:val="false"/>
              <w:spacing w:lineRule="auto" w:line="276" w:before="0" w:after="160"/>
              <w:ind w:firstLine="621"/>
              <w:rPr>
                <w:lang w:val="sr-RS"/>
              </w:rPr>
            </w:pPr>
            <w:r>
              <w:rPr>
                <w:rFonts w:cs="Arial" w:ascii="Arial" w:hAnsi="Arial"/>
                <w:sz w:val="20"/>
                <w:lang w:val="sr-CS"/>
              </w:rPr>
              <w:t>Т.Р.</w:t>
            </w:r>
            <w:r>
              <w:rPr>
                <w:rFonts w:cs="Arial" w:ascii="Arial" w:hAnsi="Arial"/>
                <w:sz w:val="20"/>
                <w:lang w:val="sr-Latn-CS"/>
              </w:rPr>
              <w:t>: 205-515883-74</w:t>
            </w:r>
            <w:r>
              <w:rPr>
                <w:rFonts w:cs="Arial" w:ascii="Arial" w:hAnsi="Arial"/>
                <w:sz w:val="20"/>
                <w:lang w:val="sr-RS"/>
              </w:rPr>
              <w:t xml:space="preserve">   </w:t>
            </w:r>
            <w:r>
              <w:rPr>
                <w:rFonts w:cs="Arial" w:ascii="Arial" w:hAnsi="Arial"/>
                <w:sz w:val="20"/>
                <w:lang w:val="sr-Latn-RS"/>
              </w:rPr>
              <w:t>NLB</w:t>
            </w:r>
            <w:r>
              <w:rPr>
                <w:rFonts w:cs="Arial" w:ascii="Arial" w:hAnsi="Arial"/>
                <w:sz w:val="20"/>
                <w:lang w:val="sr-Latn-CS"/>
              </w:rPr>
              <w:t xml:space="preserve"> Banka</w:t>
            </w:r>
          </w:p>
        </w:tc>
      </w:tr>
    </w:tbl>
    <w:p>
      <w:pPr>
        <w:pStyle w:val="HeadEng"/>
        <w:pBdr>
          <w:top w:val="single" w:sz="4" w:space="2" w:color="000000"/>
          <w:bottom w:val="double" w:sz="6" w:space="1" w:color="000000"/>
        </w:pBdr>
        <w:jc w:val="center"/>
        <w:rPr>
          <w:rFonts w:ascii="Arial" w:hAnsi="Arial" w:cs="Arial"/>
          <w:sz w:val="18"/>
          <w:szCs w:val="18"/>
          <w:lang w:val="ru-RU"/>
        </w:rPr>
      </w:pPr>
      <w:r>
        <w:rPr>
          <w:rFonts w:cs="Arial" w:ascii="Arial" w:hAnsi="Arial"/>
          <w:sz w:val="18"/>
          <w:szCs w:val="18"/>
          <w:lang w:val="sr-CS"/>
        </w:rPr>
        <w:t>Тел</w:t>
      </w:r>
      <w:r>
        <w:rPr>
          <w:rFonts w:cs="Arial" w:ascii="Arial" w:hAnsi="Arial"/>
          <w:sz w:val="18"/>
          <w:szCs w:val="18"/>
          <w:lang w:val="ru-RU"/>
        </w:rPr>
        <w:t>: +381(0)</w:t>
      </w:r>
      <w:r>
        <w:rPr>
          <w:rFonts w:cs="Arial" w:ascii="Arial" w:hAnsi="Arial"/>
          <w:sz w:val="18"/>
          <w:szCs w:val="18"/>
          <w:lang w:val="sr-CS"/>
        </w:rPr>
        <w:t>25</w:t>
      </w:r>
      <w:r>
        <w:rPr>
          <w:rFonts w:cs="Arial" w:ascii="Arial" w:hAnsi="Arial"/>
          <w:sz w:val="18"/>
          <w:szCs w:val="18"/>
          <w:lang w:val="sr-Latn-CS"/>
        </w:rPr>
        <w:t>/</w:t>
      </w:r>
      <w:r>
        <w:rPr>
          <w:rFonts w:cs="Arial" w:ascii="Arial" w:hAnsi="Arial"/>
          <w:sz w:val="18"/>
          <w:szCs w:val="18"/>
          <w:lang w:val="ru-RU"/>
        </w:rPr>
        <w:t>418-948</w:t>
      </w:r>
      <w:r>
        <w:rPr>
          <w:rFonts w:cs="Arial" w:ascii="Arial" w:hAnsi="Arial"/>
          <w:sz w:val="18"/>
          <w:szCs w:val="18"/>
          <w:lang w:val="sr-Latn-CS"/>
        </w:rPr>
        <w:t xml:space="preserve"> </w:t>
      </w:r>
      <w:r>
        <w:rPr>
          <w:rFonts w:eastAsia="Wingdings" w:cs="Wingdings" w:ascii="Wingdings" w:hAnsi="Wingdings"/>
          <w:sz w:val="18"/>
          <w:szCs w:val="18"/>
        </w:rPr>
        <w:sym w:font="Wingdings" w:char="f0ad"/>
      </w:r>
      <w:r>
        <w:rPr>
          <w:rFonts w:cs="Arial" w:ascii="Arial" w:hAnsi="Arial"/>
          <w:sz w:val="18"/>
          <w:szCs w:val="18"/>
          <w:lang w:val="ru-RU"/>
        </w:rPr>
        <w:t xml:space="preserve"> </w:t>
      </w:r>
      <w:r>
        <w:rPr>
          <w:rFonts w:cs="Arial" w:ascii="Arial" w:hAnsi="Arial"/>
          <w:sz w:val="18"/>
          <w:szCs w:val="18"/>
          <w:lang w:val="sr-CS"/>
        </w:rPr>
        <w:t>Факс</w:t>
      </w:r>
      <w:r>
        <w:rPr>
          <w:rFonts w:cs="Arial" w:ascii="Arial" w:hAnsi="Arial"/>
          <w:sz w:val="18"/>
          <w:szCs w:val="18"/>
          <w:lang w:val="ru-RU"/>
        </w:rPr>
        <w:t>: +381(0)</w:t>
      </w:r>
      <w:r>
        <w:rPr>
          <w:rFonts w:cs="Arial" w:ascii="Arial" w:hAnsi="Arial"/>
          <w:sz w:val="18"/>
          <w:szCs w:val="18"/>
          <w:lang w:val="sr-CS"/>
        </w:rPr>
        <w:t>25/414-326</w:t>
      </w:r>
      <w:r>
        <w:rPr>
          <w:rFonts w:cs="Arial" w:ascii="Arial" w:hAnsi="Arial"/>
          <w:sz w:val="18"/>
          <w:szCs w:val="18"/>
          <w:lang w:val="sr-Latn-CS"/>
        </w:rPr>
        <w:t xml:space="preserve"> </w:t>
      </w:r>
      <w:r>
        <w:rPr>
          <w:rFonts w:eastAsia="Wingdings" w:cs="Wingdings" w:ascii="Wingdings" w:hAnsi="Wingdings"/>
          <w:sz w:val="18"/>
          <w:szCs w:val="18"/>
        </w:rPr>
        <w:sym w:font="Wingdings" w:char="f0ad"/>
      </w:r>
      <w:r>
        <w:rPr>
          <w:rFonts w:cs="Arial" w:ascii="Arial" w:hAnsi="Arial"/>
          <w:sz w:val="18"/>
          <w:szCs w:val="18"/>
          <w:lang w:val="ru-RU"/>
        </w:rPr>
        <w:t xml:space="preserve"> </w:t>
      </w:r>
      <w:r>
        <w:rPr>
          <w:rFonts w:cs="Arial" w:ascii="Arial" w:hAnsi="Arial"/>
          <w:sz w:val="18"/>
          <w:szCs w:val="18"/>
        </w:rPr>
        <w:t>www</w:t>
      </w:r>
      <w:r>
        <w:rPr>
          <w:rFonts w:cs="Arial" w:ascii="Arial" w:hAnsi="Arial"/>
          <w:sz w:val="18"/>
          <w:szCs w:val="18"/>
          <w:lang w:val="ru-RU"/>
        </w:rPr>
        <w:t>.</w:t>
      </w:r>
      <w:r>
        <w:rPr>
          <w:rFonts w:cs="Arial" w:ascii="Arial" w:hAnsi="Arial"/>
          <w:sz w:val="18"/>
          <w:szCs w:val="18"/>
          <w:lang w:val="sr-Latn-CS"/>
        </w:rPr>
        <w:t>zelenilosombor</w:t>
      </w:r>
      <w:r>
        <w:rPr>
          <w:rFonts w:cs="Arial" w:ascii="Arial" w:hAnsi="Arial"/>
          <w:sz w:val="18"/>
          <w:szCs w:val="18"/>
          <w:lang w:val="ru-RU"/>
        </w:rPr>
        <w:t>.</w:t>
      </w:r>
      <w:r>
        <w:rPr>
          <w:rFonts w:cs="Arial" w:ascii="Arial" w:hAnsi="Arial"/>
          <w:sz w:val="18"/>
          <w:szCs w:val="18"/>
        </w:rPr>
        <w:t>co</w:t>
      </w:r>
      <w:r>
        <w:rPr>
          <w:rFonts w:cs="Arial" w:ascii="Arial" w:hAnsi="Arial"/>
          <w:sz w:val="18"/>
          <w:szCs w:val="18"/>
          <w:lang w:val="ru-RU"/>
        </w:rPr>
        <w:t>.</w:t>
      </w:r>
      <w:r>
        <w:rPr>
          <w:rFonts w:cs="Arial" w:ascii="Arial" w:hAnsi="Arial"/>
          <w:sz w:val="18"/>
          <w:szCs w:val="18"/>
        </w:rPr>
        <w:t>rs</w:t>
      </w:r>
      <w:r>
        <w:rPr>
          <w:rFonts w:cs="Arial" w:ascii="Arial" w:hAnsi="Arial"/>
          <w:sz w:val="18"/>
          <w:szCs w:val="18"/>
          <w:lang w:val="ru-RU"/>
        </w:rPr>
        <w:t xml:space="preserve">  </w:t>
      </w:r>
      <w:r>
        <w:rPr>
          <w:rFonts w:eastAsia="Wingdings" w:cs="Wingdings" w:ascii="Wingdings" w:hAnsi="Wingdings"/>
          <w:sz w:val="18"/>
          <w:szCs w:val="18"/>
        </w:rPr>
        <w:sym w:font="Wingdings" w:char="f0ad"/>
      </w:r>
      <w:r>
        <w:rPr>
          <w:rFonts w:cs="Arial" w:ascii="Arial" w:hAnsi="Arial"/>
          <w:sz w:val="18"/>
          <w:szCs w:val="18"/>
          <w:lang w:val="ru-RU"/>
        </w:rPr>
        <w:t xml:space="preserve"> </w:t>
      </w:r>
      <w:r>
        <w:rPr>
          <w:rFonts w:cs="Arial" w:ascii="Arial" w:hAnsi="Arial"/>
          <w:sz w:val="18"/>
          <w:szCs w:val="18"/>
        </w:rPr>
        <w:t>office</w:t>
      </w:r>
      <w:r>
        <w:rPr>
          <w:rFonts w:cs="Arial" w:ascii="Arial" w:hAnsi="Arial"/>
          <w:sz w:val="18"/>
          <w:szCs w:val="18"/>
          <w:lang w:val="ru-RU"/>
        </w:rPr>
        <w:t>@</w:t>
      </w:r>
      <w:r>
        <w:rPr>
          <w:rFonts w:cs="Arial" w:ascii="Arial" w:hAnsi="Arial"/>
          <w:sz w:val="18"/>
          <w:szCs w:val="18"/>
          <w:lang w:val="sr-Latn-CS"/>
        </w:rPr>
        <w:t>zelenilosombor.co.rs</w:t>
      </w:r>
    </w:p>
    <w:p>
      <w:pPr>
        <w:pStyle w:val="Normal"/>
        <w:rPr>
          <w:lang w:val="sr-RS"/>
        </w:rPr>
      </w:pPr>
      <w:r>
        <w:rPr>
          <w:lang w:val="sr-RS"/>
        </w:rPr>
      </w:r>
    </w:p>
    <w:p>
      <w:pPr>
        <w:pStyle w:val="Normal"/>
        <w:rPr>
          <w:rFonts w:ascii="Times New Roman" w:hAnsi="Times New Roman" w:cs="Times New Roman"/>
          <w:b/>
          <w:sz w:val="24"/>
          <w:szCs w:val="24"/>
          <w:lang w:val="ru-RU"/>
        </w:rPr>
      </w:pPr>
      <w:r>
        <w:rPr>
          <w:rFonts w:cs="Times New Roman" w:ascii="Times New Roman" w:hAnsi="Times New Roman"/>
          <w:b/>
          <w:sz w:val="24"/>
          <w:szCs w:val="24"/>
          <w:lang w:val="ru-RU"/>
        </w:rPr>
        <w:t>Образац 12</w:t>
      </w:r>
    </w:p>
    <w:p>
      <w:pPr>
        <w:pStyle w:val="Normal"/>
        <w:rPr>
          <w:sz w:val="24"/>
          <w:szCs w:val="24"/>
          <w:lang w:val="ru-RU"/>
        </w:rPr>
      </w:pPr>
      <w:r>
        <w:rPr>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left="720" w:hanging="0"/>
        <w:jc w:val="center"/>
        <w:rPr>
          <w:rFonts w:ascii="Times New Roman" w:hAnsi="Times New Roman" w:cs="Times New Roman"/>
          <w:b/>
          <w:sz w:val="24"/>
          <w:szCs w:val="24"/>
          <w:lang w:val="ru-RU"/>
        </w:rPr>
      </w:pPr>
      <w:r>
        <w:rPr>
          <w:rFonts w:cs="Times New Roman" w:ascii="Times New Roman" w:hAnsi="Times New Roman"/>
          <w:b/>
          <w:sz w:val="24"/>
          <w:szCs w:val="24"/>
          <w:lang w:val="ru-RU"/>
        </w:rPr>
        <w:t>ИЗВЕШТАЈ О СТЕПЕНУ УСКЛАЂЕНОСТИ ПЛАНИРАНИХ И РЕАЛИЗОВАНИХ АКТИВНОСТИ ИЗ ПРОГРАМА ПОСЛОВАЊА</w:t>
      </w:r>
    </w:p>
    <w:p>
      <w:pPr>
        <w:pStyle w:val="Normal"/>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jc w:val="center"/>
        <w:rPr>
          <w:rFonts w:ascii="Times New Roman" w:hAnsi="Times New Roman" w:cs="Times New Roman"/>
          <w:sz w:val="24"/>
          <w:szCs w:val="24"/>
          <w:lang w:val="sr-RS"/>
        </w:rPr>
      </w:pPr>
      <w:r>
        <w:rPr>
          <w:rFonts w:cs="Times New Roman" w:ascii="Times New Roman" w:hAnsi="Times New Roman"/>
          <w:sz w:val="24"/>
          <w:szCs w:val="24"/>
          <w:lang w:val="ru-RU"/>
        </w:rPr>
        <w:t>За период од 01.01.202</w:t>
      </w:r>
      <w:r>
        <w:rPr>
          <w:rFonts w:cs="Times New Roman" w:ascii="Times New Roman" w:hAnsi="Times New Roman"/>
          <w:sz w:val="24"/>
          <w:szCs w:val="24"/>
          <w:lang w:val="sr-Latn-RS"/>
        </w:rPr>
        <w:t>3</w:t>
      </w:r>
      <w:r>
        <w:rPr>
          <w:rFonts w:cs="Times New Roman" w:ascii="Times New Roman" w:hAnsi="Times New Roman"/>
          <w:sz w:val="24"/>
          <w:szCs w:val="24"/>
          <w:lang w:val="ru-RU"/>
        </w:rPr>
        <w:t>. до 3</w:t>
      </w:r>
      <w:r>
        <w:rPr>
          <w:rFonts w:cs="Times New Roman" w:ascii="Times New Roman" w:hAnsi="Times New Roman"/>
          <w:sz w:val="24"/>
          <w:szCs w:val="24"/>
          <w:lang w:val="sr-Latn-RS"/>
        </w:rPr>
        <w:t>0</w:t>
      </w:r>
      <w:r>
        <w:rPr>
          <w:rFonts w:cs="Times New Roman" w:ascii="Times New Roman" w:hAnsi="Times New Roman"/>
          <w:sz w:val="24"/>
          <w:szCs w:val="24"/>
          <w:lang w:val="ru-RU"/>
        </w:rPr>
        <w:t>.</w:t>
      </w:r>
      <w:r>
        <w:rPr>
          <w:rFonts w:cs="Times New Roman" w:ascii="Times New Roman" w:hAnsi="Times New Roman"/>
          <w:sz w:val="24"/>
          <w:szCs w:val="24"/>
          <w:lang w:val="sr-Latn-RS"/>
        </w:rPr>
        <w:t>0</w:t>
      </w:r>
      <w:r>
        <w:rPr>
          <w:rFonts w:cs="Times New Roman" w:ascii="Times New Roman" w:hAnsi="Times New Roman"/>
          <w:sz w:val="24"/>
          <w:szCs w:val="24"/>
          <w:lang w:val="sr-RS"/>
        </w:rPr>
        <w:t>9</w:t>
      </w:r>
      <w:r>
        <w:rPr>
          <w:rFonts w:cs="Times New Roman" w:ascii="Times New Roman" w:hAnsi="Times New Roman"/>
          <w:sz w:val="24"/>
          <w:szCs w:val="24"/>
          <w:lang w:val="ru-RU"/>
        </w:rPr>
        <w:t>.20</w:t>
      </w:r>
      <w:r>
        <w:rPr>
          <w:rFonts w:cs="Times New Roman" w:ascii="Times New Roman" w:hAnsi="Times New Roman"/>
          <w:sz w:val="24"/>
          <w:szCs w:val="24"/>
          <w:lang w:val="sr-Latn-RS"/>
        </w:rPr>
        <w:t>23</w:t>
      </w:r>
      <w:r>
        <w:rPr>
          <w:rFonts w:cs="Times New Roman" w:ascii="Times New Roman" w:hAnsi="Times New Roman"/>
          <w:sz w:val="24"/>
          <w:szCs w:val="24"/>
          <w:lang w:val="ru-RU"/>
        </w:rPr>
        <w:t>.</w:t>
      </w:r>
    </w:p>
    <w:p>
      <w:pPr>
        <w:pStyle w:val="Normal"/>
        <w:jc w:val="center"/>
        <w:rPr>
          <w:rFonts w:ascii="Times New Roman" w:hAnsi="Times New Roman" w:cs="Times New Roman"/>
          <w:sz w:val="24"/>
          <w:szCs w:val="24"/>
          <w:lang w:val="sr-RS"/>
        </w:rPr>
      </w:pPr>
      <w:r>
        <w:rPr>
          <w:rFonts w:cs="Times New Roman" w:ascii="Times New Roman" w:hAnsi="Times New Roman"/>
          <w:sz w:val="24"/>
          <w:szCs w:val="24"/>
          <w:lang w:val="sr-RS"/>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ind w:left="2880" w:firstLine="720"/>
        <w:rPr>
          <w:rFonts w:ascii="Times New Roman" w:hAnsi="Times New Roman" w:cs="Times New Roman"/>
          <w:sz w:val="24"/>
          <w:szCs w:val="24"/>
          <w:lang w:val="sr-RS"/>
        </w:rPr>
      </w:pPr>
      <w:r>
        <w:rPr>
          <w:rFonts w:cs="Times New Roman" w:ascii="Times New Roman" w:hAnsi="Times New Roman"/>
          <w:sz w:val="24"/>
          <w:szCs w:val="24"/>
          <w:lang w:val="ru-RU"/>
        </w:rPr>
        <w:t xml:space="preserve">Сомбор , </w:t>
      </w:r>
      <w:r>
        <w:rPr>
          <w:rFonts w:cs="Times New Roman" w:ascii="Times New Roman" w:hAnsi="Times New Roman"/>
          <w:sz w:val="24"/>
          <w:szCs w:val="24"/>
          <w:lang w:val="sr-RS"/>
        </w:rPr>
        <w:t>26.10.2023</w:t>
      </w:r>
      <w:r>
        <w:rPr>
          <w:rFonts w:cs="Times New Roman" w:ascii="Times New Roman" w:hAnsi="Times New Roman"/>
          <w:sz w:val="24"/>
          <w:szCs w:val="24"/>
          <w:lang w:val="ru-RU"/>
        </w:rPr>
        <w:t xml:space="preserve">. </w:t>
      </w:r>
    </w:p>
    <w:p>
      <w:pPr>
        <w:pStyle w:val="Normal"/>
        <w:jc w:val="center"/>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sz w:val="24"/>
          <w:szCs w:val="24"/>
          <w:lang w:val="sr-Latn-RS"/>
        </w:rPr>
      </w:pPr>
      <w:r>
        <w:rPr>
          <w:rFonts w:cs="Times New Roman" w:ascii="Times New Roman" w:hAnsi="Times New Roman"/>
          <w:sz w:val="24"/>
          <w:szCs w:val="24"/>
          <w:lang w:val="sr-Latn-RS"/>
        </w:rPr>
        <w:t xml:space="preserve">  </w:t>
      </w:r>
      <w:r>
        <w:rPr>
          <w:rFonts w:cs="Times New Roman" w:ascii="Times New Roman" w:hAnsi="Times New Roman"/>
          <w:b/>
          <w:sz w:val="24"/>
          <w:szCs w:val="24"/>
          <w:lang w:val="ru-RU"/>
        </w:rPr>
        <w:t xml:space="preserve"> </w:t>
      </w:r>
      <w:r>
        <w:rPr>
          <w:rFonts w:cs="Times New Roman" w:ascii="Times New Roman" w:hAnsi="Times New Roman"/>
          <w:b/>
          <w:sz w:val="24"/>
          <w:szCs w:val="24"/>
        </w:rPr>
        <w:t>I</w:t>
      </w:r>
      <w:r>
        <w:rPr>
          <w:rFonts w:cs="Times New Roman" w:ascii="Times New Roman" w:hAnsi="Times New Roman"/>
          <w:b/>
          <w:sz w:val="24"/>
          <w:szCs w:val="24"/>
          <w:lang w:val="ru-RU"/>
        </w:rPr>
        <w:t xml:space="preserve"> ОСНОВНИ СТАТУСНИ ПОДАЦИ</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center"/>
        <w:rPr>
          <w:rFonts w:ascii="Times New Roman" w:hAnsi="Times New Roman" w:eastAsia="Calibri" w:cs="Times New Roman"/>
          <w:color w:val="000000"/>
          <w:sz w:val="24"/>
          <w:szCs w:val="24"/>
          <w:lang w:val="pl-PL"/>
        </w:rPr>
      </w:pPr>
      <w:r>
        <w:rPr>
          <w:rFonts w:eastAsia="Calibri" w:cs="Times New Roman" w:ascii="Times New Roman" w:hAnsi="Times New Roman"/>
          <w:color w:val="000000"/>
          <w:sz w:val="24"/>
          <w:szCs w:val="24"/>
          <w:lang w:val="pl-PL"/>
        </w:rPr>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Пословно име:  Јавно комунално предузеће „ЗЕЛЕНИЛО“</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Седиште:  Сомбор, Раде Дракулића 12</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Претежна делатност: 8130 – Услуге уређења и одржавања околине</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Матични број: 20935421</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ПИБ:  108122945</w:t>
      </w:r>
    </w:p>
    <w:p>
      <w:pPr>
        <w:pStyle w:val="Normal"/>
        <w:rPr>
          <w:rFonts w:ascii="Times New Roman" w:hAnsi="Times New Roman" w:cs="Times New Roman"/>
          <w:sz w:val="24"/>
          <w:szCs w:val="24"/>
          <w:u w:val="single"/>
          <w:lang w:val="ru-RU"/>
        </w:rPr>
      </w:pPr>
      <w:r>
        <w:rPr>
          <w:rFonts w:cs="Times New Roman" w:ascii="Times New Roman" w:hAnsi="Times New Roman"/>
          <w:sz w:val="24"/>
          <w:szCs w:val="24"/>
          <w:u w:val="single"/>
          <w:lang w:val="ru-RU"/>
        </w:rPr>
        <w:t>Надлежно министарство:  Министарство привреде</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Годишњи програм пословања ЈКП „Зеленило“- Сомбор за 2023.годину усвојен је на </w:t>
      </w:r>
      <w:r>
        <w:rPr>
          <w:rFonts w:cs="Times New Roman" w:ascii="Times New Roman" w:hAnsi="Times New Roman"/>
          <w:sz w:val="24"/>
          <w:szCs w:val="24"/>
          <w:lang w:val="sr-Latn-RS"/>
        </w:rPr>
        <w:t>21</w:t>
      </w:r>
      <w:r>
        <w:rPr>
          <w:rFonts w:cs="Times New Roman" w:ascii="Times New Roman" w:hAnsi="Times New Roman"/>
          <w:sz w:val="24"/>
          <w:szCs w:val="24"/>
          <w:lang w:val="ru-RU"/>
        </w:rPr>
        <w:t xml:space="preserve">. седници Скупштине града Сомбора, одржаној дана </w:t>
      </w:r>
      <w:r>
        <w:rPr>
          <w:rFonts w:cs="Times New Roman" w:ascii="Times New Roman" w:hAnsi="Times New Roman"/>
          <w:sz w:val="24"/>
          <w:szCs w:val="24"/>
          <w:lang w:val="sr-Latn-RS"/>
        </w:rPr>
        <w:t>21</w:t>
      </w:r>
      <w:r>
        <w:rPr>
          <w:rFonts w:cs="Times New Roman" w:ascii="Times New Roman" w:hAnsi="Times New Roman"/>
          <w:sz w:val="24"/>
          <w:szCs w:val="24"/>
          <w:lang w:val="ru-RU"/>
        </w:rPr>
        <w:t>.12.20</w:t>
      </w:r>
      <w:r>
        <w:rPr>
          <w:rFonts w:cs="Times New Roman" w:ascii="Times New Roman" w:hAnsi="Times New Roman"/>
          <w:sz w:val="24"/>
          <w:szCs w:val="24"/>
          <w:lang w:val="sr-Latn-RS"/>
        </w:rPr>
        <w:t>22</w:t>
      </w:r>
      <w:r>
        <w:rPr>
          <w:rFonts w:cs="Times New Roman" w:ascii="Times New Roman" w:hAnsi="Times New Roman"/>
          <w:sz w:val="24"/>
          <w:szCs w:val="24"/>
          <w:lang w:val="ru-RU"/>
        </w:rPr>
        <w:t>.год. , Решењем број : 023-113/20</w:t>
      </w:r>
      <w:r>
        <w:rPr>
          <w:rFonts w:cs="Times New Roman" w:ascii="Times New Roman" w:hAnsi="Times New Roman"/>
          <w:sz w:val="24"/>
          <w:szCs w:val="24"/>
          <w:lang w:val="sr-Latn-RS"/>
        </w:rPr>
        <w:t>22</w:t>
      </w:r>
      <w:r>
        <w:rPr>
          <w:rFonts w:cs="Times New Roman" w:ascii="Times New Roman" w:hAnsi="Times New Roman"/>
          <w:sz w:val="24"/>
          <w:szCs w:val="24"/>
          <w:lang w:val="ru-RU"/>
        </w:rPr>
        <w:t xml:space="preserve">- </w:t>
      </w:r>
      <w:r>
        <w:rPr>
          <w:rFonts w:cs="Times New Roman" w:ascii="Times New Roman" w:hAnsi="Times New Roman"/>
          <w:sz w:val="24"/>
          <w:szCs w:val="24"/>
        </w:rPr>
        <w:t>I</w:t>
      </w:r>
      <w:r>
        <w:rPr>
          <w:rFonts w:cs="Times New Roman" w:ascii="Times New Roman" w:hAnsi="Times New Roman"/>
          <w:sz w:val="24"/>
          <w:szCs w:val="24"/>
          <w:lang w:val="sr-RS"/>
        </w:rPr>
        <w:t>.</w:t>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t xml:space="preserve">                       </w:t>
      </w:r>
    </w:p>
    <w:p>
      <w:pPr>
        <w:pStyle w:val="Normal"/>
        <w:jc w:val="both"/>
        <w:rPr>
          <w:rFonts w:ascii="Times New Roman" w:hAnsi="Times New Roman" w:eastAsia="Calibri" w:cs="Times New Roman"/>
          <w:color w:val="000000"/>
          <w:sz w:val="24"/>
          <w:szCs w:val="24"/>
          <w:lang w:val="ru-RU"/>
        </w:rPr>
      </w:pPr>
      <w:r>
        <w:rPr>
          <w:rFonts w:eastAsia="Calibri" w:cs="Times New Roman" w:ascii="Times New Roman" w:hAnsi="Times New Roman"/>
          <w:color w:val="000000"/>
          <w:sz w:val="24"/>
          <w:szCs w:val="24"/>
          <w:lang w:val="ru-RU"/>
        </w:rPr>
      </w:r>
    </w:p>
    <w:p>
      <w:pPr>
        <w:pStyle w:val="Normal"/>
        <w:rPr>
          <w:rFonts w:ascii="Times New Roman" w:hAnsi="Times New Roman" w:cs="Times New Roman"/>
          <w:sz w:val="24"/>
          <w:szCs w:val="24"/>
          <w:lang w:val="ru-RU"/>
        </w:rPr>
      </w:pPr>
      <w:r>
        <w:rPr>
          <w:rFonts w:cs="Times New Roman" w:ascii="Times New Roman" w:hAnsi="Times New Roman"/>
          <w:color w:val="000000"/>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b/>
          <w:sz w:val="24"/>
          <w:szCs w:val="24"/>
        </w:rPr>
        <w:t>II</w:t>
      </w:r>
      <w:r>
        <w:rPr>
          <w:rFonts w:cs="Times New Roman" w:ascii="Times New Roman" w:hAnsi="Times New Roman"/>
          <w:b/>
          <w:sz w:val="24"/>
          <w:szCs w:val="24"/>
          <w:lang w:val="ru-RU"/>
        </w:rPr>
        <w:t xml:space="preserve"> ОБРАЗЛОЖЕЊЕ ПОСЛОВАЊА</w:t>
      </w:r>
    </w:p>
    <w:p>
      <w:pPr>
        <w:pStyle w:val="Normal"/>
        <w:jc w:val="both"/>
        <w:rPr>
          <w:rFonts w:ascii="Times New Roman" w:hAnsi="Times New Roman" w:eastAsia="Calibri" w:cs="Times New Roman"/>
          <w:color w:val="000000"/>
          <w:sz w:val="24"/>
          <w:szCs w:val="24"/>
          <w:lang w:val="sr-CS"/>
        </w:rPr>
      </w:pPr>
      <w:r>
        <w:rPr>
          <w:rFonts w:cs="Times New Roman" w:ascii="Times New Roman" w:hAnsi="Times New Roman"/>
          <w:i/>
          <w:sz w:val="24"/>
          <w:szCs w:val="24"/>
          <w:lang w:val="ru-RU"/>
        </w:rPr>
        <w:t xml:space="preserve">         </w:t>
      </w:r>
      <w:r>
        <w:rPr>
          <w:rFonts w:eastAsia="Calibri" w:cs="Times New Roman" w:ascii="Times New Roman" w:hAnsi="Times New Roman"/>
          <w:color w:val="000000"/>
          <w:sz w:val="24"/>
          <w:szCs w:val="24"/>
          <w:lang w:val="sr-CS"/>
        </w:rPr>
        <w:t>ЈКП ``Зеленило`` Сомбор, својом делатношћу, техничко-технолошком опремљеношћу, кадровским потенцијалима и природним ресурсима је пре свега сервис грађана Сомбора.</w:t>
      </w:r>
      <w:r>
        <w:rPr>
          <w:rFonts w:eastAsia="Calibri" w:cs="Times New Roman" w:ascii="Times New Roman" w:hAnsi="Times New Roman"/>
          <w:color w:val="000000"/>
          <w:sz w:val="24"/>
          <w:szCs w:val="24"/>
          <w:lang w:val="ru-RU"/>
        </w:rPr>
        <w:t xml:space="preserve"> </w:t>
      </w:r>
      <w:r>
        <w:rPr>
          <w:rFonts w:eastAsia="Calibri" w:cs="Times New Roman" w:ascii="Times New Roman" w:hAnsi="Times New Roman"/>
          <w:color w:val="000000"/>
          <w:sz w:val="24"/>
          <w:szCs w:val="24"/>
          <w:lang w:val="sr-CS"/>
        </w:rPr>
        <w:t>Својим свакодневним услугама и понудом производа уз стручне и мотивисане раднике доприноси побољшању квалитета живота, како у друштвеном тако и у природном окружењу. Својим сталним развојем уредно, квалитетно и економски оправдано пружа комуналне услуге са циљем унапређења животних услова свих грађана</w:t>
      </w:r>
      <w:r>
        <w:rPr>
          <w:rFonts w:eastAsia="Calibri" w:cs="Times New Roman" w:ascii="Times New Roman" w:hAnsi="Times New Roman"/>
          <w:color w:val="000000"/>
          <w:sz w:val="24"/>
          <w:szCs w:val="24"/>
          <w:lang w:val="ru-RU"/>
        </w:rPr>
        <w:t xml:space="preserve"> </w:t>
      </w:r>
      <w:r>
        <w:rPr>
          <w:rFonts w:eastAsia="Calibri" w:cs="Times New Roman" w:ascii="Times New Roman" w:hAnsi="Times New Roman"/>
          <w:color w:val="000000"/>
          <w:sz w:val="24"/>
          <w:szCs w:val="24"/>
          <w:lang w:val="sr-CS"/>
        </w:rPr>
        <w:t xml:space="preserve">са посебним освртом на заштиту животне средине а самим тим и обезбеђује квалитет живота запослених.    </w:t>
      </w:r>
    </w:p>
    <w:p>
      <w:pPr>
        <w:pStyle w:val="Normal"/>
        <w:jc w:val="both"/>
        <w:rPr>
          <w:rFonts w:ascii="Times New Roman" w:hAnsi="Times New Roman" w:cs="Times New Roman"/>
          <w:sz w:val="24"/>
          <w:szCs w:val="24"/>
          <w:lang w:val="sr-RS"/>
        </w:rPr>
      </w:pPr>
      <w:r>
        <w:rPr>
          <w:rFonts w:eastAsia="Calibri" w:cs="Times New Roman" w:ascii="Times New Roman" w:hAnsi="Times New Roman"/>
          <w:color w:val="000000"/>
          <w:sz w:val="24"/>
          <w:szCs w:val="24"/>
          <w:lang w:val="sr-CS"/>
        </w:rPr>
        <w:t xml:space="preserve">       </w:t>
      </w:r>
      <w:r>
        <w:rPr>
          <w:rFonts w:eastAsia="Calibri" w:cs="Times New Roman" w:ascii="Times New Roman" w:hAnsi="Times New Roman"/>
          <w:color w:val="000000"/>
          <w:sz w:val="24"/>
          <w:szCs w:val="24"/>
          <w:lang w:val="sr-CS"/>
        </w:rPr>
        <w:t xml:space="preserve">Конкретно, </w:t>
      </w:r>
      <w:r>
        <w:rPr>
          <w:rFonts w:cs="Times New Roman" w:ascii="Times New Roman" w:hAnsi="Times New Roman"/>
          <w:sz w:val="24"/>
          <w:szCs w:val="24"/>
          <w:lang w:val="sr-CS"/>
        </w:rPr>
        <w:t>о</w:t>
      </w:r>
      <w:r>
        <w:rPr>
          <w:rFonts w:cs="Times New Roman" w:ascii="Times New Roman" w:hAnsi="Times New Roman"/>
          <w:sz w:val="24"/>
          <w:szCs w:val="24"/>
          <w:lang w:val="sr-RS"/>
        </w:rPr>
        <w:t>државање јавних зелених површина у граду и у насељеним местима од 01.01.-</w:t>
      </w:r>
      <w:r>
        <w:rPr>
          <w:rFonts w:cs="Times New Roman" w:ascii="Times New Roman" w:hAnsi="Times New Roman"/>
          <w:sz w:val="24"/>
          <w:szCs w:val="24"/>
          <w:lang w:val="sr-Latn-RS"/>
        </w:rPr>
        <w:t>30.09.2023</w:t>
      </w:r>
      <w:r>
        <w:rPr>
          <w:rFonts w:cs="Times New Roman" w:ascii="Times New Roman" w:hAnsi="Times New Roman"/>
          <w:sz w:val="24"/>
          <w:szCs w:val="24"/>
          <w:lang w:val="sr-RS"/>
        </w:rPr>
        <w:t>.године , реализовало се кроз следеће</w:t>
      </w:r>
      <w:r>
        <w:rPr>
          <w:rFonts w:eastAsia="Calibri" w:cs="Times New Roman" w:ascii="Times New Roman" w:hAnsi="Times New Roman"/>
          <w:color w:val="000000"/>
          <w:sz w:val="24"/>
          <w:szCs w:val="24"/>
          <w:lang w:val="sr-CS"/>
        </w:rPr>
        <w:t xml:space="preserve"> а</w:t>
      </w:r>
      <w:r>
        <w:rPr>
          <w:rFonts w:cs="Times New Roman" w:ascii="Times New Roman" w:hAnsi="Times New Roman"/>
          <w:sz w:val="24"/>
          <w:szCs w:val="24"/>
          <w:lang w:val="sr-RS"/>
        </w:rPr>
        <w:t>ктивности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ab/>
        <w:t>-Орезивање дрворедних стабала и живе ограде по налозима надзорног органа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-Сеча дрворедних стабала по налозима надзорног органа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-Орезивање стабала ради прегледности у саобраћају ( раскснице и семафори)</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-Сакупљање откоса, утовар и одвоз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-Машинско и ручно кошење зелених површина у граду и насељеним местима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-Чишћење парковских стаза са сакупљањем отпада и његовим одвожењем</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-Кошење траве и другог растиња на банкинама општинских путева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-Кошење амброзије</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-Одржавање јавне расвете, постављање и скидање новогодишњих украса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-Одр</w:t>
      </w:r>
      <w:r>
        <w:rPr>
          <w:rFonts w:cs="Times New Roman" w:ascii="Times New Roman" w:hAnsi="Times New Roman"/>
          <w:sz w:val="24"/>
          <w:szCs w:val="24"/>
          <w:lang w:val="sr-RS"/>
        </w:rPr>
        <w:t>ж</w:t>
      </w:r>
      <w:r>
        <w:rPr>
          <w:rFonts w:cs="Times New Roman" w:ascii="Times New Roman" w:hAnsi="Times New Roman"/>
          <w:sz w:val="24"/>
          <w:szCs w:val="24"/>
          <w:lang w:val="sr-RS"/>
        </w:rPr>
        <w:t>авање урбаног мобилијара, споменика , чесми и фонтана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-Одржавање локалних путева у зимском периоду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-Пошумљавање депоније у Станишићу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 xml:space="preserve">-Изградња вежбалишта у Колуту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О</w:t>
      </w:r>
      <w:r>
        <w:rPr>
          <w:rFonts w:cs="Times New Roman" w:ascii="Times New Roman" w:hAnsi="Times New Roman"/>
          <w:bCs/>
          <w:sz w:val="24"/>
          <w:szCs w:val="24"/>
          <w:lang w:val="sr-RS"/>
        </w:rPr>
        <w:t xml:space="preserve">државање јавне расвете у граду </w:t>
      </w:r>
      <w:r>
        <w:rPr>
          <w:rFonts w:cs="Times New Roman" w:ascii="Times New Roman" w:hAnsi="Times New Roman"/>
          <w:bCs/>
          <w:sz w:val="24"/>
          <w:szCs w:val="24"/>
          <w:lang w:val="ru-RU"/>
        </w:rPr>
        <w:t>и насељеним местима</w:t>
      </w:r>
      <w:r>
        <w:rPr>
          <w:rFonts w:cs="Times New Roman" w:ascii="Times New Roman" w:hAnsi="Times New Roman"/>
          <w:bCs/>
          <w:sz w:val="24"/>
          <w:szCs w:val="24"/>
          <w:lang w:val="sr-RS"/>
        </w:rPr>
        <w:t xml:space="preserve"> са потребним материјалом, декоративном расветом за Божићне и Новогодишње празнике, </w:t>
      </w:r>
      <w:r>
        <w:rPr>
          <w:rFonts w:cs="Times New Roman" w:ascii="Times New Roman" w:hAnsi="Times New Roman"/>
          <w:sz w:val="24"/>
          <w:szCs w:val="24"/>
          <w:lang w:val="sr-RS"/>
        </w:rPr>
        <w:t xml:space="preserve">на почетку 2023.године, реализовало се кроз следеће активности : у периоду јануара месеца вршено је скидање декоративне (новогодишње) расвете, како у граду Сомбору, тако и у осталим наељеним местима,  као и </w:t>
      </w:r>
      <w:r>
        <w:rPr>
          <w:rFonts w:cs="Times New Roman" w:ascii="Times New Roman" w:hAnsi="Times New Roman"/>
          <w:color w:val="000000"/>
          <w:sz w:val="24"/>
          <w:szCs w:val="24"/>
          <w:lang w:val="sr-RS"/>
        </w:rPr>
        <w:t>редовно одржавање јавне расвете. У фебруару и марту месецу, због већег обима посла по пар недеља вршено је одржавање јавне расвете са по две ауто-дизалице (корпе) како би се јавна расвета довела у функцију. У посматраном периоду замењено је око хиљаду</w:t>
      </w:r>
      <w:r>
        <w:rPr>
          <w:color w:val="000000"/>
          <w:lang w:val="sr-RS"/>
        </w:rPr>
        <w:t xml:space="preserve"> </w:t>
      </w:r>
      <w:bookmarkStart w:id="0" w:name="_GoBack"/>
      <w:bookmarkEnd w:id="0"/>
      <w:r>
        <w:rPr>
          <w:rFonts w:cs="Times New Roman" w:ascii="Times New Roman" w:hAnsi="Times New Roman"/>
          <w:color w:val="000000"/>
          <w:sz w:val="24"/>
          <w:szCs w:val="24"/>
          <w:lang w:val="sr-RS"/>
        </w:rPr>
        <w:t xml:space="preserve">сијалица, пригушница и грла, као и осталих делова електроматеријала. </w:t>
      </w:r>
      <w:r>
        <w:rPr>
          <w:rFonts w:cs="Times New Roman" w:ascii="Times New Roman" w:hAnsi="Times New Roman"/>
          <w:sz w:val="24"/>
          <w:szCs w:val="24"/>
          <w:lang w:val="sr-RS"/>
        </w:rPr>
        <w:t xml:space="preserve"> У пословима зимске службе током првог квартала, редовно су вршена дежурства - према степену мобилности, као и посипање путева индустријском сољу, каменим агрегатом и хладним асфалтом у складу са налозима од стране Штаба зимске службе.</w:t>
      </w:r>
    </w:p>
    <w:p>
      <w:pPr>
        <w:pStyle w:val="Normal"/>
        <w:rPr>
          <w:rFonts w:ascii="Times New Roman" w:hAnsi="Times New Roman"/>
          <w:lang w:val="ru-RU"/>
        </w:rPr>
      </w:pPr>
      <w:r>
        <w:rPr>
          <w:rFonts w:ascii="Times New Roman" w:hAnsi="Times New Roman"/>
          <w:lang w:val="ru-RU"/>
        </w:rPr>
        <w:t xml:space="preserve">        </w:t>
      </w:r>
      <w:r>
        <w:rPr>
          <w:rFonts w:ascii="Times New Roman" w:hAnsi="Times New Roman"/>
          <w:sz w:val="24"/>
          <w:szCs w:val="24"/>
          <w:lang w:val="ru-RU"/>
        </w:rPr>
        <w:t>У извештају о реализацији послова</w:t>
      </w:r>
      <w:r>
        <w:rPr>
          <w:rFonts w:ascii="Times New Roman" w:hAnsi="Times New Roman"/>
          <w:sz w:val="24"/>
          <w:szCs w:val="24"/>
          <w:lang w:val="sr-RS"/>
        </w:rPr>
        <w:t xml:space="preserve"> до краја трећег </w:t>
      </w:r>
      <w:r>
        <w:rPr>
          <w:rFonts w:ascii="Times New Roman" w:hAnsi="Times New Roman"/>
          <w:sz w:val="24"/>
          <w:szCs w:val="24"/>
          <w:lang w:val="ru-RU"/>
        </w:rPr>
        <w:t>квартал</w:t>
      </w:r>
      <w:r>
        <w:rPr>
          <w:rFonts w:ascii="Times New Roman" w:hAnsi="Times New Roman"/>
          <w:sz w:val="24"/>
          <w:szCs w:val="24"/>
          <w:lang w:val="sr-RS"/>
        </w:rPr>
        <w:t>а</w:t>
      </w:r>
      <w:r>
        <w:rPr>
          <w:rFonts w:ascii="Times New Roman" w:hAnsi="Times New Roman"/>
          <w:sz w:val="24"/>
          <w:szCs w:val="24"/>
          <w:lang w:val="ru-RU"/>
        </w:rPr>
        <w:t xml:space="preserve"> 202</w:t>
      </w:r>
      <w:r>
        <w:rPr>
          <w:rFonts w:ascii="Times New Roman" w:hAnsi="Times New Roman"/>
          <w:sz w:val="24"/>
          <w:szCs w:val="24"/>
          <w:lang w:val="sr-Latn-RS"/>
        </w:rPr>
        <w:t>3</w:t>
      </w:r>
      <w:r>
        <w:rPr>
          <w:rFonts w:ascii="Times New Roman" w:hAnsi="Times New Roman"/>
          <w:sz w:val="24"/>
          <w:szCs w:val="24"/>
          <w:lang w:val="ru-RU"/>
        </w:rPr>
        <w:t>.године, кренућемо од податка из Програма пословања ЈКП „ Зеленило „ – Сомбор, а који се односе на закључене уговоре по искључивим правима са Градом Сомбором за 202</w:t>
      </w:r>
      <w:r>
        <w:rPr>
          <w:rFonts w:ascii="Times New Roman" w:hAnsi="Times New Roman"/>
          <w:sz w:val="24"/>
          <w:szCs w:val="24"/>
          <w:lang w:val="sr-Latn-RS"/>
        </w:rPr>
        <w:t>3</w:t>
      </w:r>
      <w:r>
        <w:rPr>
          <w:rFonts w:ascii="Times New Roman" w:hAnsi="Times New Roman"/>
          <w:sz w:val="24"/>
          <w:szCs w:val="24"/>
          <w:lang w:val="ru-RU"/>
        </w:rPr>
        <w:t>.годину и њиховом реализацијом</w:t>
      </w:r>
      <w:r>
        <w:rPr>
          <w:rFonts w:ascii="Times New Roman" w:hAnsi="Times New Roman"/>
          <w:lang w:val="ru-RU"/>
        </w:rPr>
        <w:t>.</w:t>
      </w:r>
    </w:p>
    <w:p>
      <w:pPr>
        <w:pStyle w:val="Normal"/>
        <w:rPr>
          <w:rFonts w:ascii="Times New Roman" w:hAnsi="Times New Roman"/>
          <w:lang w:val="ru-RU"/>
        </w:rPr>
      </w:pPr>
      <w:r>
        <w:rPr>
          <w:rFonts w:cs="Times New Roman" w:ascii="Times New Roman" w:hAnsi="Times New Roman"/>
          <w:sz w:val="24"/>
          <w:szCs w:val="24"/>
          <w:lang w:val="ru-RU"/>
        </w:rPr>
        <w:t xml:space="preserve">ИЗВЕШТАЈ О ЗАКЉУЧ. УГОВОРИМА ПО ИСКЉУЧИВИМ ПРАВИМА СА ГРАДОМ </w:t>
      </w:r>
    </w:p>
    <w:p>
      <w:pPr>
        <w:pStyle w:val="Normal"/>
        <w:pBdr>
          <w:top w:val="single" w:sz="4" w:space="1" w:color="000000"/>
          <w:left w:val="single" w:sz="4" w:space="4" w:color="000000"/>
          <w:bottom w:val="single" w:sz="4" w:space="1" w:color="000000"/>
          <w:right w:val="single" w:sz="4" w:space="4" w:color="000000"/>
        </w:pBdr>
        <w:rPr>
          <w:rFonts w:ascii="Times New Roman" w:hAnsi="Times New Roman" w:cs="Times New Roman"/>
          <w:b/>
          <w:sz w:val="24"/>
          <w:szCs w:val="24"/>
          <w:lang w:val="ru-RU"/>
        </w:rPr>
      </w:pPr>
      <w:r>
        <w:rPr>
          <w:rFonts w:cs="Times New Roman" w:ascii="Times New Roman" w:hAnsi="Times New Roman"/>
          <w:sz w:val="24"/>
          <w:szCs w:val="24"/>
          <w:lang w:val="ru-RU"/>
        </w:rPr>
        <w:t xml:space="preserve">УГОВОРИ :                                          УГОВОР.ВРЕДНОСТ : </w:t>
      </w:r>
      <w:r>
        <w:rPr>
          <w:rFonts w:cs="Times New Roman" w:ascii="Times New Roman" w:hAnsi="Times New Roman"/>
          <w:b/>
          <w:sz w:val="24"/>
          <w:szCs w:val="24"/>
          <w:lang w:val="ru-RU"/>
        </w:rPr>
        <w:t xml:space="preserve">    Реализација до </w:t>
      </w:r>
      <w:r>
        <w:rPr>
          <w:rFonts w:cs="Times New Roman" w:ascii="Times New Roman" w:hAnsi="Times New Roman"/>
          <w:b/>
          <w:sz w:val="24"/>
          <w:szCs w:val="24"/>
          <w:lang w:val="sr-Latn-RS"/>
        </w:rPr>
        <w:t>30.09.2023</w:t>
      </w:r>
      <w:r>
        <w:rPr>
          <w:rFonts w:cs="Times New Roman" w:ascii="Times New Roman" w:hAnsi="Times New Roman"/>
          <w:b/>
          <w:sz w:val="24"/>
          <w:szCs w:val="24"/>
          <w:lang w:val="ru-RU"/>
        </w:rPr>
        <w:t xml:space="preserve">.                                            </w:t>
      </w:r>
    </w:p>
    <w:p>
      <w:pPr>
        <w:pStyle w:val="Normal"/>
        <w:rPr>
          <w:rFonts w:ascii="Times New Roman" w:hAnsi="Times New Roman" w:cs="Times New Roman"/>
          <w:sz w:val="24"/>
          <w:szCs w:val="24"/>
          <w:lang w:val="sr-Latn-RS"/>
        </w:rPr>
      </w:pPr>
      <w:r>
        <w:rPr>
          <w:rFonts w:cs="Times New Roman" w:ascii="Times New Roman" w:hAnsi="Times New Roman"/>
          <w:sz w:val="24"/>
          <w:szCs w:val="24"/>
          <w:lang w:val="ru-RU"/>
        </w:rPr>
        <w:t xml:space="preserve">Одрж.јавних зел. Површ.                                          120.000.000                               </w:t>
      </w:r>
      <w:r>
        <w:rPr>
          <w:rFonts w:cs="Times New Roman" w:ascii="Times New Roman" w:hAnsi="Times New Roman"/>
          <w:sz w:val="24"/>
          <w:szCs w:val="24"/>
          <w:lang w:val="sr-Latn-RS"/>
        </w:rPr>
        <w:t>101.327.895</w:t>
      </w:r>
    </w:p>
    <w:p>
      <w:pPr>
        <w:pStyle w:val="Normal"/>
        <w:tabs>
          <w:tab w:val="clear" w:pos="720"/>
          <w:tab w:val="left" w:pos="7870" w:leader="none"/>
        </w:tabs>
        <w:rPr>
          <w:rFonts w:ascii="Times New Roman" w:hAnsi="Times New Roman" w:cs="Times New Roman"/>
          <w:sz w:val="24"/>
          <w:szCs w:val="24"/>
          <w:lang w:val="sr-RS"/>
        </w:rPr>
      </w:pPr>
      <w:r>
        <w:rPr>
          <w:rFonts w:cs="Times New Roman" w:ascii="Times New Roman" w:hAnsi="Times New Roman"/>
          <w:sz w:val="24"/>
          <w:szCs w:val="24"/>
          <w:lang w:val="ru-RU"/>
        </w:rPr>
        <w:t xml:space="preserve">Одрж. јавне расвете                                                    15.000.000                                </w:t>
      </w:r>
      <w:r>
        <w:rPr>
          <w:rFonts w:cs="Times New Roman" w:ascii="Times New Roman" w:hAnsi="Times New Roman"/>
          <w:sz w:val="24"/>
          <w:szCs w:val="24"/>
          <w:lang w:val="sr-Latn-RS"/>
        </w:rPr>
        <w:t xml:space="preserve"> 14.263.992</w:t>
      </w:r>
    </w:p>
    <w:p>
      <w:pPr>
        <w:pStyle w:val="Normal"/>
        <w:tabs>
          <w:tab w:val="clear" w:pos="720"/>
          <w:tab w:val="left" w:pos="7870" w:leader="none"/>
        </w:tabs>
        <w:rPr>
          <w:rFonts w:ascii="Times New Roman" w:hAnsi="Times New Roman" w:cs="Times New Roman"/>
          <w:sz w:val="24"/>
          <w:szCs w:val="24"/>
          <w:lang w:val="sr-Latn-RS"/>
        </w:rPr>
      </w:pPr>
      <w:r>
        <w:rPr>
          <w:rFonts w:cs="Times New Roman" w:ascii="Times New Roman" w:hAnsi="Times New Roman"/>
          <w:sz w:val="24"/>
          <w:szCs w:val="24"/>
          <w:lang w:val="sr-RS"/>
        </w:rPr>
        <w:t>Изградња јав.расвете-реконструкција</w:t>
      </w:r>
      <w:r>
        <w:rPr>
          <w:rFonts w:cs="Times New Roman" w:ascii="Times New Roman" w:hAnsi="Times New Roman"/>
          <w:sz w:val="24"/>
          <w:szCs w:val="24"/>
          <w:lang w:val="ru-RU"/>
        </w:rPr>
        <w:t xml:space="preserve">                      15.000.000                                                0</w:t>
      </w:r>
    </w:p>
    <w:p>
      <w:pPr>
        <w:pStyle w:val="Normal"/>
        <w:rPr>
          <w:rFonts w:ascii="Times New Roman" w:hAnsi="Times New Roman" w:cs="Times New Roman"/>
          <w:b/>
          <w:sz w:val="24"/>
          <w:szCs w:val="24"/>
          <w:lang w:val="sr-RS"/>
        </w:rPr>
      </w:pPr>
      <w:r>
        <w:rPr>
          <w:rFonts w:cs="Times New Roman" w:ascii="Times New Roman" w:hAnsi="Times New Roman"/>
          <w:sz w:val="24"/>
          <w:szCs w:val="24"/>
          <w:lang w:val="ru-RU"/>
        </w:rPr>
        <w:t xml:space="preserve">Одрж. спом.знамен.личност.                                       1.000.000                                      </w:t>
      </w:r>
      <w:r>
        <w:rPr>
          <w:rFonts w:cs="Times New Roman" w:ascii="Times New Roman" w:hAnsi="Times New Roman"/>
          <w:sz w:val="24"/>
          <w:szCs w:val="24"/>
          <w:lang w:val="sr-Latn-RS"/>
        </w:rPr>
        <w:t>659.256</w:t>
      </w:r>
    </w:p>
    <w:p>
      <w:pPr>
        <w:pStyle w:val="Normal"/>
        <w:rPr>
          <w:rFonts w:ascii="Times New Roman" w:hAnsi="Times New Roman" w:cs="Times New Roman"/>
          <w:sz w:val="24"/>
          <w:szCs w:val="24"/>
          <w:lang w:val="sr-Latn-RS"/>
        </w:rPr>
      </w:pPr>
      <w:r>
        <w:rPr>
          <w:rFonts w:cs="Times New Roman" w:ascii="Times New Roman" w:hAnsi="Times New Roman"/>
          <w:sz w:val="24"/>
          <w:szCs w:val="24"/>
          <w:lang w:val="ru-RU"/>
        </w:rPr>
        <w:t xml:space="preserve">Одрж. урбаног мобилијара                                          9.000.000                                    </w:t>
      </w:r>
      <w:r>
        <w:rPr>
          <w:rFonts w:cs="Times New Roman" w:ascii="Times New Roman" w:hAnsi="Times New Roman"/>
          <w:sz w:val="24"/>
          <w:szCs w:val="24"/>
          <w:lang w:val="sr-Latn-RS"/>
        </w:rPr>
        <w:t>8.183.831</w:t>
      </w:r>
    </w:p>
    <w:p>
      <w:pPr>
        <w:pStyle w:val="Normal"/>
        <w:rPr>
          <w:rFonts w:ascii="Times New Roman" w:hAnsi="Times New Roman" w:cs="Times New Roman"/>
          <w:sz w:val="24"/>
          <w:szCs w:val="24"/>
          <w:lang w:val="ru-RU"/>
        </w:rPr>
      </w:pPr>
      <w:r>
        <w:rPr>
          <w:rFonts w:cs="Times New Roman" w:ascii="Times New Roman" w:hAnsi="Times New Roman"/>
          <w:sz w:val="24"/>
          <w:szCs w:val="24"/>
          <w:lang w:val="sr-RS"/>
        </w:rPr>
        <w:t>Ревитализација зеленила</w:t>
      </w:r>
      <w:r>
        <w:rPr>
          <w:rFonts w:cs="Times New Roman" w:ascii="Times New Roman" w:hAnsi="Times New Roman"/>
          <w:sz w:val="24"/>
          <w:szCs w:val="24"/>
          <w:lang w:val="ru-RU"/>
        </w:rPr>
        <w:t xml:space="preserve">                                             5.000.000                                                  0</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Одрж. фонтане и чесми                                               4.000.000</w:t>
      </w:r>
      <w:r>
        <w:rPr>
          <w:rFonts w:cs="Times New Roman" w:ascii="Times New Roman" w:hAnsi="Times New Roman"/>
          <w:sz w:val="24"/>
          <w:szCs w:val="24"/>
          <w:lang w:val="sr-Latn-RS"/>
        </w:rPr>
        <w:t xml:space="preserve">                                    2.392.203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Кош. траве и раст. на банкин.општин. Путева          8.500.000</w:t>
      </w:r>
      <w:r>
        <w:rPr>
          <w:rFonts w:cs="Times New Roman" w:ascii="Times New Roman" w:hAnsi="Times New Roman"/>
          <w:sz w:val="24"/>
          <w:szCs w:val="24"/>
          <w:lang w:val="sr-Latn-RS"/>
        </w:rPr>
        <w:t xml:space="preserve">                                    6.794.398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Зимска служба                                                            20.393.041                                 </w:t>
      </w:r>
      <w:r>
        <w:rPr>
          <w:rFonts w:cs="Times New Roman" w:ascii="Times New Roman" w:hAnsi="Times New Roman"/>
          <w:sz w:val="24"/>
          <w:szCs w:val="24"/>
          <w:lang w:val="sr-RS"/>
        </w:rPr>
        <w:t xml:space="preserve"> 14.930.004</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Кошење амброзије                                                     15.986.740                                  1</w:t>
      </w:r>
      <w:r>
        <w:rPr>
          <w:rFonts w:cs="Times New Roman" w:ascii="Times New Roman" w:hAnsi="Times New Roman"/>
          <w:sz w:val="24"/>
          <w:szCs w:val="24"/>
          <w:lang w:val="sr-Latn-RS"/>
        </w:rPr>
        <w:t>5.986.257</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Кошење траве и др.растиња у путном појасу            2.910.000                                      183.255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Набавка новог урбаног мобилијара                            5.999.940                                    </w:t>
      </w:r>
      <w:r>
        <w:rPr>
          <w:rFonts w:cs="Times New Roman" w:ascii="Times New Roman" w:hAnsi="Times New Roman"/>
          <w:sz w:val="24"/>
          <w:szCs w:val="24"/>
          <w:lang w:val="sr-Latn-RS"/>
        </w:rPr>
        <w:t>5.999.940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Орезивање ветрозашт. појас.на пољ.земљ.                1.940.000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Подизање ветрозаштитних појасева                           4.000.000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Изградња вежбалишта у Колуту                                 1.499.832</w:t>
      </w:r>
      <w:r>
        <w:rPr>
          <w:rFonts w:cs="Times New Roman" w:ascii="Times New Roman" w:hAnsi="Times New Roman"/>
          <w:sz w:val="24"/>
          <w:szCs w:val="24"/>
          <w:lang w:val="sr-Latn-RS"/>
        </w:rPr>
        <w:t xml:space="preserve">                                  1.499.832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Изградња вежбалишта  Партизанска                          1.499.832                                  1.499.832</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Испорука и уградња фењера М. Коњовић         </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 xml:space="preserve">  788.688</w:t>
      </w:r>
      <w:r>
        <w:rPr>
          <w:rFonts w:cs="Times New Roman" w:ascii="Times New Roman" w:hAnsi="Times New Roman"/>
          <w:sz w:val="24"/>
          <w:szCs w:val="24"/>
          <w:lang w:val="sr-Latn-RS"/>
        </w:rPr>
        <w:t xml:space="preserve">     </w:t>
      </w:r>
      <w:r>
        <w:rPr>
          <w:rFonts w:cs="Times New Roman" w:ascii="Times New Roman" w:hAnsi="Times New Roman"/>
          <w:sz w:val="24"/>
          <w:szCs w:val="24"/>
          <w:lang w:val="sr-RS"/>
        </w:rPr>
        <w:t xml:space="preserve">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Замена стакала у канделаберима Краља Петра         1.997.160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Осветљење терена Д.Обрадовића                               1.499.760                                   1.499.760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Пошумљавање депоније Станишић                           1.584.000                                   1.584.000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Осветљење Ж.Зрењанина Гаково                                  994.320                                      994.320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Осветљење трим стазе А.Шантића                             1.147.920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Осветљење трим стазе А.Шантића -други део             887.760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Уградња конз.кандел.Краља Петра                                792.000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 xml:space="preserve">Набавка и испорука кандел.Краља Петра                  1.526.400                                                 0   </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Одржавање табли са називом                                       220.000                                                  0</w:t>
      </w:r>
    </w:p>
    <w:p>
      <w:pPr>
        <w:pStyle w:val="Normal"/>
        <w:rPr>
          <w:rFonts w:ascii="Times New Roman" w:hAnsi="Times New Roman" w:cs="Times New Roman"/>
          <w:sz w:val="24"/>
          <w:szCs w:val="24"/>
          <w:lang w:val="sr-RS"/>
        </w:rPr>
      </w:pPr>
      <w:r>
        <w:rPr>
          <w:rFonts w:cs="Times New Roman" w:ascii="Times New Roman" w:hAnsi="Times New Roman"/>
          <w:sz w:val="24"/>
          <w:szCs w:val="24"/>
          <w:lang w:val="sr-RS"/>
        </w:rPr>
        <w:t>Прикључење слова на јавн.расвету                           1.080.000                                    1.080.000</w:t>
      </w:r>
    </w:p>
    <w:p>
      <w:pPr>
        <w:pStyle w:val="Normal"/>
        <w:rPr>
          <w:rFonts w:ascii="Times New Roman" w:hAnsi="Times New Roman"/>
          <w:sz w:val="24"/>
          <w:szCs w:val="24"/>
          <w:lang w:val="sr-RS"/>
        </w:rPr>
      </w:pPr>
      <w:r>
        <w:rPr>
          <w:rFonts w:ascii="Times New Roman" w:hAnsi="Times New Roman"/>
          <w:sz w:val="24"/>
          <w:szCs w:val="24"/>
          <w:lang w:val="sr-RS"/>
        </w:rPr>
        <w:t>Реконструкција деч.играл.са теретаном                       579.800                                      579.800</w:t>
      </w:r>
    </w:p>
    <w:p>
      <w:pPr>
        <w:pStyle w:val="Normal"/>
        <w:rPr>
          <w:rFonts w:ascii="Times New Roman" w:hAnsi="Times New Roman"/>
          <w:sz w:val="24"/>
          <w:szCs w:val="24"/>
          <w:lang w:val="sr-RS"/>
        </w:rPr>
      </w:pPr>
      <w:r>
        <w:rPr>
          <w:rFonts w:ascii="Times New Roman" w:hAnsi="Times New Roman"/>
          <w:sz w:val="24"/>
          <w:szCs w:val="24"/>
          <w:lang w:val="sr-RS"/>
        </w:rPr>
        <w:t>Побољшање осветљења у Стапару                               622.860                                                 0</w:t>
      </w:r>
    </w:p>
    <w:p>
      <w:pPr>
        <w:pStyle w:val="Normal"/>
        <w:rPr>
          <w:rFonts w:ascii="Times New Roman" w:hAnsi="Times New Roman"/>
          <w:sz w:val="24"/>
          <w:szCs w:val="24"/>
          <w:lang w:val="sr-RS"/>
        </w:rPr>
      </w:pPr>
      <w:r>
        <w:rPr>
          <w:rFonts w:ascii="Times New Roman" w:hAnsi="Times New Roman"/>
          <w:sz w:val="24"/>
          <w:szCs w:val="24"/>
          <w:lang w:val="sr-RS"/>
        </w:rPr>
        <w:t>Санација депоније у Бездану                                      1.584.000                                                 0</w:t>
      </w:r>
    </w:p>
    <w:p>
      <w:pPr>
        <w:pStyle w:val="Normal"/>
        <w:rPr>
          <w:rFonts w:ascii="Times New Roman" w:hAnsi="Times New Roman" w:cs="Times New Roman"/>
          <w:sz w:val="24"/>
          <w:szCs w:val="24"/>
          <w:lang w:val="sr-RS"/>
        </w:rPr>
      </w:pPr>
      <w:r>
        <w:rPr>
          <w:rFonts w:cs="Times New Roman" w:ascii="Times New Roman" w:hAnsi="Times New Roman"/>
          <w:b/>
          <w:sz w:val="24"/>
          <w:szCs w:val="24"/>
          <w:lang w:val="ru-RU"/>
        </w:rPr>
        <w:t>УКУПНО :                                                              24</w:t>
      </w:r>
      <w:r>
        <w:rPr>
          <w:rFonts w:cs="Times New Roman" w:ascii="Times New Roman" w:hAnsi="Times New Roman"/>
          <w:b/>
          <w:sz w:val="24"/>
          <w:szCs w:val="24"/>
          <w:lang w:val="sr-RS"/>
        </w:rPr>
        <w:t xml:space="preserve">7.034.053    </w:t>
      </w:r>
      <w:r>
        <w:rPr>
          <w:rFonts w:cs="Times New Roman" w:ascii="Times New Roman" w:hAnsi="Times New Roman"/>
          <w:b/>
          <w:sz w:val="24"/>
          <w:szCs w:val="24"/>
          <w:lang w:val="ru-RU"/>
        </w:rPr>
        <w:t xml:space="preserve">                            1</w:t>
      </w:r>
      <w:r>
        <w:rPr>
          <w:rFonts w:cs="Times New Roman" w:ascii="Times New Roman" w:hAnsi="Times New Roman"/>
          <w:b/>
          <w:sz w:val="24"/>
          <w:szCs w:val="24"/>
          <w:lang w:val="sr-RS"/>
        </w:rPr>
        <w:t>79.458.575</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Проценат остварења напред наведених Уговора на крају</w:t>
      </w:r>
      <w:r>
        <w:rPr>
          <w:rFonts w:cs="Times New Roman" w:ascii="Times New Roman" w:hAnsi="Times New Roman"/>
          <w:sz w:val="24"/>
          <w:szCs w:val="24"/>
          <w:lang w:val="sr-RS"/>
        </w:rPr>
        <w:t xml:space="preserve"> трећег </w:t>
      </w:r>
      <w:r>
        <w:rPr>
          <w:rFonts w:cs="Times New Roman" w:ascii="Times New Roman" w:hAnsi="Times New Roman"/>
          <w:sz w:val="24"/>
          <w:szCs w:val="24"/>
          <w:lang w:val="ru-RU"/>
        </w:rPr>
        <w:t xml:space="preserve">квартала 2023.године је </w:t>
      </w:r>
      <w:r>
        <w:rPr>
          <w:rFonts w:cs="Times New Roman" w:ascii="Times New Roman" w:hAnsi="Times New Roman"/>
          <w:sz w:val="24"/>
          <w:szCs w:val="24"/>
          <w:lang w:val="sr-RS"/>
        </w:rPr>
        <w:t>72,65%</w:t>
      </w:r>
      <w:r>
        <w:rPr>
          <w:rFonts w:cs="Times New Roman" w:ascii="Times New Roman" w:hAnsi="Times New Roman"/>
          <w:sz w:val="24"/>
          <w:szCs w:val="24"/>
          <w:lang w:val="ru-RU"/>
        </w:rPr>
        <w:t xml:space="preserve"> % , што је управо сразмеран проценат </w:t>
      </w:r>
      <w:r>
        <w:rPr>
          <w:rFonts w:cs="Times New Roman" w:ascii="Times New Roman" w:hAnsi="Times New Roman"/>
          <w:sz w:val="24"/>
          <w:szCs w:val="24"/>
          <w:lang w:val="sr-RS"/>
        </w:rPr>
        <w:t>за посматрани период</w:t>
      </w:r>
      <w:r>
        <w:rPr>
          <w:rFonts w:cs="Times New Roman" w:ascii="Times New Roman" w:hAnsi="Times New Roman"/>
          <w:sz w:val="24"/>
          <w:szCs w:val="24"/>
          <w:lang w:val="ru-RU"/>
        </w:rPr>
        <w:t>.</w:t>
      </w:r>
    </w:p>
    <w:p>
      <w:pPr>
        <w:pStyle w:val="Normal"/>
        <w:rPr>
          <w:rFonts w:ascii="Times New Roman" w:hAnsi="Times New Roman" w:cs="Times New Roman"/>
          <w:sz w:val="24"/>
          <w:szCs w:val="24"/>
          <w:lang w:val="ru-RU"/>
        </w:rPr>
      </w:pPr>
      <w:r>
        <w:rPr>
          <w:rFonts w:cs="Times New Roman" w:ascii="Times New Roman" w:hAnsi="Times New Roman"/>
          <w:b/>
          <w:sz w:val="24"/>
          <w:szCs w:val="24"/>
          <w:lang w:val="ru-RU"/>
        </w:rPr>
        <w:t xml:space="preserve">         </w:t>
      </w:r>
      <w:r>
        <w:rPr>
          <w:rFonts w:cs="Times New Roman" w:ascii="Times New Roman" w:hAnsi="Times New Roman"/>
          <w:sz w:val="24"/>
          <w:szCs w:val="24"/>
          <w:lang w:val="ru-RU"/>
        </w:rPr>
        <w:t>Исказана добит од 120.548,91 динара на крају овог квартала, настала је као логичан след након обављених послова које смо интензивирали током другог и трећег квартала, доспевши до оптималних готово 75  посто извршених радова који су предвиђени за ову годину, а током трећег квартала успели смо и да исплатимо све обавезе настале из судских пресуда у корист запослених који су  тужбама за регрес  (њих 33)  који није испалаћен у целости у складу са одредбама важећег Правилника о раду предузећа, у ранијем периоду ( од јуна 2018. године до јануара 2020.године )</w:t>
      </w:r>
      <w:r>
        <w:rPr>
          <w:rFonts w:cs="Times New Roman" w:ascii="Times New Roman" w:hAnsi="Times New Roman"/>
          <w:sz w:val="24"/>
          <w:szCs w:val="24"/>
          <w:lang w:val="sr-RS"/>
        </w:rPr>
        <w:t>и о чему смо извештавали у предходним извештајима.</w:t>
      </w:r>
      <w:r>
        <w:rPr>
          <w:rFonts w:cs="Times New Roman" w:ascii="Times New Roman" w:hAnsi="Times New Roman"/>
          <w:sz w:val="24"/>
          <w:szCs w:val="24"/>
          <w:lang w:val="ru-RU"/>
        </w:rPr>
        <w:t xml:space="preserve">Тужбе су оспорене наводима да се у том периоду били на снази прописи, према којима није било дозвољено повећање зарада, па из тог разлога није исплаћиван регрес у пуном износу, како је то прописано Правилником о раду, већ је исплаћиван у износима као раније. Суд није прихватио ове наводе, па је усвојио поднете тужбе и досудио тужиоцима износе, који су утврђени путем вештака. Судске одлуке су постале правоснажне, тако да су исплаћени тужиоцима – запосленима досуђени износи на име неисплаћеног дела регреса за период као у тужби и трошкови поступка, који су се односили на судске таксе, адвокатске трошкове и трошкове адвоката. Исплате су,  извршене у трећем кварталу ове године. Просечан износ исплаћеног дуга по запосленом – тужиоцу  износио је 137.464,85 динара, који обухвата главни дуг са каматом, а просечан износ трошкова поступка по тужби износио је 68.218,67динара. По овом правном основу укупно је исплаћено 3.299.156,28 динара, који износ обухвата главни дуг са каматом и трошковима поступка, </w:t>
      </w:r>
      <w:r>
        <w:rPr>
          <w:rFonts w:cs="Times New Roman" w:ascii="Times New Roman" w:hAnsi="Times New Roman"/>
          <w:sz w:val="24"/>
          <w:szCs w:val="24"/>
          <w:lang w:val="sr-RS"/>
        </w:rPr>
        <w:t>као и исплата адвокатици која је заступала запослене у укупном износу од 1.653.720,98 динара</w:t>
      </w:r>
      <w:r>
        <w:rPr>
          <w:rFonts w:cs="Times New Roman" w:ascii="Times New Roman" w:hAnsi="Times New Roman"/>
          <w:sz w:val="24"/>
          <w:szCs w:val="24"/>
          <w:lang w:val="ru-RU"/>
        </w:rPr>
        <w:t xml:space="preserve">. Напомињемо да смо са запосленима који нису тужили предузеће, сачинили Споразум о исплати регреса на дванаест месечних рата, па смо у ту сврху у трећем кварталу укупно исплатили 3.557.439,18 динара. Разуме се да је овако велики финансијски удар на предузеће довео до тога да је добит сведена на минимум. </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Наш највећи купац « Град Сомбор » (98,86%) редовно је, а често и пре рока уплаћивао дуг по фактурама, па смо тако и ми могли пре рока да измирујемо све своје обавезе, како према добављачима, тако и према запосленима ,а подразумева се, пре свега порезе и доприносе .</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Током трећег квартала по први пут смо били у ситуацији да користимо дозвољени минус по текућем рачуну и то само неколико дана, почевши од 25. септембра, а износ средстава које смо користили на дан 30.09.2023. био је 2.559.751,06 динара.</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Висину капитала је увећала добит овог периода.</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Што се тиче дугорочних обавеза и кредитне задужености предузећа које се односе на кредит од НЛБ банке у износу од 85.000 еура , исплаћене су у целости. Исказани износ од 2.568 (000) динара односи се на резервисање отпремнина за све запослене- хупотетички ,а  које ће долазити у наредним годинама, према стварном стању и потребама.</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Од краткорочних обавеза имамо исказане обавезе према запосленима и обавезе према добављачима, које су у првом случају 15.626 ( у 000 ) динара, а у другом 14.221 ( у 000) динара и које се уредно и благовремено  извршавају, као и увек до сада.</w:t>
      </w:r>
    </w:p>
    <w:p>
      <w:pPr>
        <w:pStyle w:val="Normal"/>
        <w:rPr>
          <w:rFonts w:ascii="Times New Roman" w:hAnsi="Times New Roman" w:cs="Times New Roman"/>
          <w:b/>
          <w:sz w:val="24"/>
          <w:szCs w:val="24"/>
          <w:lang w:val="ru-RU"/>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 xml:space="preserve">У краткорочним обавезама је исказан и податак од 5.476.774 динара, који представља обавезу уплате 50% остварене добити оснивачу, по Финансијском извештају за 2022.годину, која ће такође бити извршена у наредном периоду.  </w:t>
      </w:r>
      <w:r>
        <w:rPr>
          <w:rFonts w:ascii="Times New Roman" w:hAnsi="Times New Roman"/>
          <w:sz w:val="24"/>
          <w:szCs w:val="24"/>
          <w:lang w:val="ru-RU"/>
        </w:rPr>
        <w:t xml:space="preserve">  </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На крају извештајног периода стање на свим рачунима предузећа укупно је  износило 2.245.360,94 динара, а то највише захваљујући Буџетском подрачуну по основу уплате АПВ , на који су уплаћена средства по Уговору о донацији за унапређење расадничке производње за куповину опреме у износу од 2.038.078,30 динара.</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Што се тиче података о запосленима и трошковима запослених, можемо рећи да се они исплаћују у оквирима плана, који је опет у складу са Законом. Међутим, примећује се наставак тренда смањења запослених са 88, колико је било у плану за 2022.годину, на 81 реализовано, а на крају трећег квартала ове године, у којем је било планирано 85 запослених, реализација је 82.</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У случају отпремнина за одлазак у пензију, није било планираних и није било реализације. </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Јубиларну награду примило је тридесет и двоје запослених а било је у плану двадесет и седморо, износ плана је био 1.370.100 динара, а исплаћен је износ од 1.361.409 динара.</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Посебно истичемо да је на позицијама: помоћи радницима и породицама радника и осталим накнадама трошкова запосленима исплаћено више од плана, а све из разлога великог повећања смртних случајева и лечења још од 2021.године, што је последица пандемије, као и старосне структуре запослених. У поменуте сврхе, током овог периода укупно је потрошено 882.054 динара. Примећује се да је тај износ већ сада премашује планирани износ за целу годину и без обзира што се не ради о апсолутно високом износу, он је у односу на план, исказан у проценту остварења, веома висок.</w:t>
      </w:r>
    </w:p>
    <w:p>
      <w:pPr>
        <w:pStyle w:val="Normal"/>
        <w:rPr>
          <w:rFonts w:ascii="Times New Roman" w:hAnsi="Times New Roman"/>
          <w:sz w:val="24"/>
          <w:szCs w:val="24"/>
          <w:lang w:val="ru-RU"/>
        </w:rPr>
      </w:pPr>
      <w:r>
        <w:rPr>
          <w:rFonts w:ascii="Times New Roman" w:hAnsi="Times New Roman"/>
          <w:sz w:val="24"/>
          <w:szCs w:val="24"/>
          <w:lang w:val="ru-RU"/>
        </w:rPr>
        <w:t xml:space="preserve">       </w:t>
      </w:r>
      <w:r>
        <w:rPr>
          <w:rFonts w:ascii="Times New Roman" w:hAnsi="Times New Roman"/>
          <w:sz w:val="24"/>
          <w:szCs w:val="24"/>
          <w:lang w:val="ru-RU"/>
        </w:rPr>
        <w:t xml:space="preserve">Морамо истаћи да смо ми на овој позицији ранијих година имали знатно мањи износ реализације, па смо на тој основи планирали, очигледно недовољно средстава за садашње потребе. Обзиром да се одредбе  Правилника о раду морају примењивати доследно и без изузетка, предузеће је у обавези да сваком раднику који има основан захтев за исплату ове помоћи, исту и исплати, без обзира на планирани износ. </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У трећем кварталу 2023. године радни однос на неодређено време је престао Фодор Гизели дана 28.08.2023. г. због смрти. Пробојчевић Лепосава је поднела захтев за отказ уговора о раду на неодређено време, па јој је радни однос престао 26.09.2023. г.</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Колар Роберту и Саковић Александру је дана 31.07.2023. године престало ангажовање на основу уговора о привременим и повременим пословима. Са наведеним лицима је закључен уговор о раду на одређено време почев од 01.08.2023. године на рок од 24 месеца, због привременог повећања обима послова.</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На основу сагласности Комисије за давање сагласности за ново запошљавање Министарства државне управе и локалне самоуправе, закључен је уговор о раду на неодређено време са Хинић Биљаном дана 01.08.2023.године.</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Дана 15.09.2023. године закључен је уговор о привременим и повременим пословима са Балог Ивицом, Петковић Славком и Јоцић Николом.</w:t>
      </w:r>
    </w:p>
    <w:p>
      <w:pPr>
        <w:pStyle w:val="Normal"/>
        <w:jc w:val="both"/>
        <w:rPr>
          <w:rFonts w:ascii="Times New Roman" w:hAnsi="Times New Roman" w:cs="Times New Roman"/>
          <w:sz w:val="24"/>
          <w:szCs w:val="24"/>
          <w:lang w:val="sr-RS"/>
        </w:rPr>
      </w:pPr>
      <w:r>
        <w:rPr>
          <w:rFonts w:cs="Times New Roman" w:ascii="Times New Roman" w:hAnsi="Times New Roman"/>
          <w:sz w:val="24"/>
          <w:szCs w:val="24"/>
          <w:lang w:val="sr-RS"/>
        </w:rPr>
        <w:t xml:space="preserve">      </w:t>
      </w:r>
      <w:r>
        <w:rPr>
          <w:rFonts w:cs="Times New Roman" w:ascii="Times New Roman" w:hAnsi="Times New Roman"/>
          <w:sz w:val="24"/>
          <w:szCs w:val="24"/>
          <w:lang w:val="sr-RS"/>
        </w:rPr>
        <w:t>На дан 30.09.2023. године у радном односу на неодређено време је било 79 запослених, на одређено време 3 запослених. На ПП пословима је било 5 ангажованих лица и једно лице на уговору о делу, укупно 6 ангажованих ван радног односа.</w:t>
      </w:r>
    </w:p>
    <w:p>
      <w:pPr>
        <w:pStyle w:val="Normal"/>
        <w:jc w:val="both"/>
        <w:rPr>
          <w:rFonts w:ascii="Times New Roman" w:hAnsi="Times New Roman" w:cs="Times New Roman"/>
          <w:sz w:val="24"/>
          <w:szCs w:val="24"/>
          <w:lang w:val="sr-RS"/>
        </w:rPr>
      </w:pP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Просечна зарада пословодства је за дупло већа од запослених, што је заиста веома мали распон, нижи је од законског који је одређен на три пута већу зараду пословодства.</w:t>
      </w:r>
    </w:p>
    <w:p>
      <w:pPr>
        <w:pStyle w:val="Normal"/>
        <w:jc w:val="both"/>
        <w:rPr>
          <w:rFonts w:ascii="Times New Roman" w:hAnsi="Times New Roman" w:cs="Times New Roman"/>
          <w:sz w:val="24"/>
          <w:szCs w:val="24"/>
          <w:lang w:val="sr-RS"/>
        </w:rPr>
      </w:pP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На основу Нацрта Одлуке о буџету града Сомбора за 2023. годину, II ПОСЕБАН ДЕО, ПЛАН РАСХОДА, План за период 01.01. – 31.12.2023.године , планиран је укупан износ субвенција у износу од 10.000.000,00 динара.</w:t>
      </w:r>
    </w:p>
    <w:p>
      <w:pPr>
        <w:pStyle w:val="Normal"/>
        <w:jc w:val="both"/>
        <w:rPr>
          <w:rFonts w:ascii="Times New Roman" w:hAnsi="Times New Roman" w:cs="Times New Roman"/>
          <w:sz w:val="24"/>
          <w:szCs w:val="24"/>
          <w:lang w:val="sr-RS"/>
        </w:rPr>
      </w:pP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У оквиру на овај начин планираних апропријација , за раздео 5 , Програм 1102-0002 КОМУНАЛНЕ ДЕЛАТНОСТИ , Активност 0002 – „Одржавање јавних зелених површина“  Функција 620, Број позиције 98, Економске класификације 451000(2) – „Субвенције јавним нефинансијским предузећима и организацијама“ , Извор финансирања 01, „Средства из буџета“   -  ЈКП „ Зеленило „ Сомбор -  субвенције за набавку опреме , у укупном износу од 10.000.000,00 динара.</w:t>
      </w:r>
    </w:p>
    <w:p>
      <w:pPr>
        <w:pStyle w:val="Normal"/>
        <w:jc w:val="both"/>
        <w:rPr>
          <w:rFonts w:ascii="Times New Roman" w:hAnsi="Times New Roman" w:cs="Times New Roman"/>
          <w:sz w:val="24"/>
          <w:szCs w:val="24"/>
          <w:lang w:val="sr-RS"/>
        </w:rPr>
      </w:pP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Овај износ је уплаћен 22.9.2023.године и набављена је Корпа камионска са платформом од добављача " Агромеханика ФПМ " која је плаћена 12.996.000 динара, 22.09.2023.године.</w:t>
      </w:r>
    </w:p>
    <w:p>
      <w:pPr>
        <w:pStyle w:val="Normal"/>
        <w:jc w:val="both"/>
        <w:rPr>
          <w:rFonts w:ascii="Times New Roman" w:hAnsi="Times New Roman" w:cs="Times New Roman"/>
          <w:sz w:val="24"/>
          <w:szCs w:val="24"/>
          <w:lang w:val="sr-RS"/>
        </w:rPr>
      </w:pP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 xml:space="preserve">У табели средстава за посебне намене може се приметити да је потрошен износ за репрезентацију од 37.000 динара. Средства која смо ми исплатили на име донације од 90.000 су у складу са планом и одобрена су Удружењу оболелих од ахондроплазије. </w:t>
      </w:r>
    </w:p>
    <w:p>
      <w:pPr>
        <w:pStyle w:val="Normal"/>
        <w:jc w:val="both"/>
        <w:rPr>
          <w:rFonts w:ascii="Times New Roman" w:hAnsi="Times New Roman" w:cs="Times New Roman"/>
          <w:sz w:val="24"/>
          <w:szCs w:val="24"/>
          <w:lang w:val="sr-RS"/>
        </w:rPr>
      </w:pPr>
      <w:r>
        <w:rPr>
          <w:rFonts w:cs="Times New Roman" w:ascii="Times New Roman" w:hAnsi="Times New Roman"/>
          <w:color w:val="000000"/>
          <w:sz w:val="24"/>
          <w:szCs w:val="24"/>
          <w:lang w:val="sr-RS"/>
        </w:rPr>
        <w:t xml:space="preserve">  </w:t>
      </w:r>
      <w:r>
        <w:rPr>
          <w:rFonts w:cs="Times New Roman" w:ascii="Times New Roman" w:hAnsi="Times New Roman"/>
          <w:color w:val="000000"/>
          <w:sz w:val="24"/>
          <w:szCs w:val="24"/>
          <w:lang w:val="sr-RS"/>
        </w:rPr>
        <w:t>На дан 30.09.2023.године наше задужење је било само по основу дозвољеног прекорачења по текућем рачуну, а то смо детаљно образложили у предходном делу уз објашњење позиција  Биланса стања.</w:t>
      </w:r>
    </w:p>
    <w:p>
      <w:pPr>
        <w:pStyle w:val="Normal"/>
        <w:rPr>
          <w:rFonts w:ascii="Times New Roman" w:hAnsi="Times New Roman" w:cs="Times New Roman"/>
          <w:sz w:val="24"/>
          <w:szCs w:val="24"/>
          <w:lang w:val="sr-RS"/>
        </w:rPr>
      </w:pPr>
      <w:r>
        <w:rPr>
          <w:rFonts w:cs="Times New Roman" w:ascii="Times New Roman" w:hAnsi="Times New Roman"/>
          <w:i/>
          <w:sz w:val="24"/>
          <w:szCs w:val="24"/>
          <w:lang w:val="sr-RS"/>
        </w:rPr>
        <w:t xml:space="preserve">      </w:t>
      </w:r>
      <w:r>
        <w:rPr>
          <w:rFonts w:cs="Times New Roman" w:ascii="Times New Roman" w:hAnsi="Times New Roman"/>
          <w:sz w:val="24"/>
          <w:szCs w:val="24"/>
          <w:lang w:val="ru-RU"/>
        </w:rPr>
        <w:t xml:space="preserve">Цене наших услуга су уговорене и наведене у Програму пословања за 2023. годину и нису се мењале. У табели је наведен извод из ценовника који је приказан у Програму пословања ЈКП </w:t>
      </w:r>
      <w:r>
        <w:rPr>
          <w:rFonts w:cs="Times New Roman" w:ascii="Times New Roman" w:hAnsi="Times New Roman"/>
          <w:sz w:val="24"/>
          <w:szCs w:val="24"/>
          <w:lang w:val="sr-Latn-RS"/>
        </w:rPr>
        <w:t>„</w:t>
      </w:r>
      <w:r>
        <w:rPr>
          <w:rFonts w:cs="Times New Roman" w:ascii="Times New Roman" w:hAnsi="Times New Roman"/>
          <w:sz w:val="24"/>
          <w:szCs w:val="24"/>
          <w:lang w:val="sr-RS"/>
        </w:rPr>
        <w:t>Зеленило“ за 2023.годину.</w:t>
      </w: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p>
    <w:tbl>
      <w:tblPr>
        <w:tblW w:w="10002" w:type="dxa"/>
        <w:jc w:val="left"/>
        <w:tblInd w:w="60" w:type="dxa"/>
        <w:tblLayout w:type="fixed"/>
        <w:tblCellMar>
          <w:top w:w="0" w:type="dxa"/>
          <w:left w:w="30" w:type="dxa"/>
          <w:bottom w:w="0" w:type="dxa"/>
          <w:right w:w="30" w:type="dxa"/>
        </w:tblCellMar>
      </w:tblPr>
      <w:tblGrid>
        <w:gridCol w:w="3164"/>
        <w:gridCol w:w="1245"/>
        <w:gridCol w:w="1516"/>
        <w:gridCol w:w="1380"/>
        <w:gridCol w:w="1394"/>
        <w:gridCol w:w="1302"/>
      </w:tblGrid>
      <w:tr>
        <w:trPr>
          <w:trHeight w:val="276" w:hRule="atLeast"/>
        </w:trPr>
        <w:tc>
          <w:tcPr>
            <w:tcW w:w="10001" w:type="dxa"/>
            <w:gridSpan w:val="6"/>
            <w:tcBorders/>
            <w:vAlign w:val="bottom"/>
          </w:tcPr>
          <w:p>
            <w:pPr>
              <w:pStyle w:val="Normal"/>
              <w:widowControl w:val="false"/>
              <w:tabs>
                <w:tab w:val="clear" w:pos="720"/>
              </w:tabs>
              <w:spacing w:before="0" w:after="160"/>
              <w:jc w:val="left"/>
              <w:rPr>
                <w:rFonts w:ascii="Times New Roman" w:hAnsi="Times New Roman"/>
              </w:rPr>
            </w:pPr>
            <w:r>
              <w:rPr>
                <w:rFonts w:ascii="Times New Roman" w:hAnsi="Times New Roman"/>
                <w:b w:val="false"/>
                <w:i w:val="false"/>
                <w:strike w:val="false"/>
                <w:dstrike w:val="false"/>
                <w:outline w:val="false"/>
                <w:shadow w:val="false"/>
                <w:color w:val="000000"/>
                <w:sz w:val="22"/>
                <w:u w:val="none"/>
                <w:em w:val="none"/>
              </w:rPr>
              <w:t xml:space="preserve">     </w:t>
            </w:r>
            <w:r>
              <w:rPr>
                <w:rFonts w:ascii="Times New Roman" w:hAnsi="Times New Roman"/>
                <w:b w:val="false"/>
                <w:i w:val="false"/>
                <w:strike w:val="false"/>
                <w:dstrike w:val="false"/>
                <w:outline w:val="false"/>
                <w:shadow w:val="false"/>
                <w:color w:val="000000"/>
                <w:sz w:val="22"/>
                <w:u w:val="none"/>
                <w:em w:val="none"/>
              </w:rPr>
              <w:t>П</w:t>
            </w:r>
            <w:r>
              <w:rPr>
                <w:rFonts w:ascii="Times New Roman" w:hAnsi="Times New Roman"/>
              </w:rPr>
              <w:t>роцењена остварења индикатора пословања по кварталима :</w:t>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245"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План 2023</w:t>
            </w:r>
          </w:p>
        </w:tc>
        <w:tc>
          <w:tcPr>
            <w:tcW w:w="5592" w:type="dxa"/>
            <w:gridSpan w:val="4"/>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Квартал</w:t>
            </w:r>
          </w:p>
        </w:tc>
      </w:tr>
      <w:tr>
        <w:trPr>
          <w:trHeight w:val="507"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245"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516"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Вредност Q1</w:t>
            </w:r>
          </w:p>
        </w:tc>
        <w:tc>
          <w:tcPr>
            <w:tcW w:w="1380"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Вредност Q2</w:t>
            </w:r>
          </w:p>
        </w:tc>
        <w:tc>
          <w:tcPr>
            <w:tcW w:w="139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Вредност Q3</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Вредност Q4</w:t>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Укупан капитал</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35.926,00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53.415,00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44.309,00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Укупна имовина</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85.255,00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107.688,00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108.429,00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Пословни приход</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33.605,00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107.096,00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167.150,00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Пословни расходи</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43.034,00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97.762,00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166.720,00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Пословни резултати</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-9.429,00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9.334,00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430,00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Нето резултат</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-9.505,00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9.228,00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122,00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Број запослених на дан</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81,00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81,00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82,00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Просечна нето зарада</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64.496,00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76.262,00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64.678,00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Инвестиције</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ЕБИТДА</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11.802,00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-9.504,00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11.352,00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6.375,00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РОА</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0,61</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-13,31</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18,68</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0,12</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РОЕ</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1,04</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-26,45</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17,28</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0,28</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Оперативни ток готовине</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-10.641,00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-18.148,00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-31.319,00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6.768,00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Дуг/Капитал</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29,85</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137,30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61,00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80,11</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Ликвидност</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148,09</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63,98</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181,00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113,05</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507"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Проценат зараде од прилива готовине</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55,37</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74,09</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46,00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50,83</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507"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Кредитна задуженост без гаранција</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1.158.681,00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290.778,00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2.560,00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507"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Кредитна задуженост са гаранцијама</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Укупна кредитна задуженост</w:t>
            </w:r>
          </w:p>
        </w:tc>
        <w:tc>
          <w:tcPr>
            <w:tcW w:w="1245"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0,00</w:t>
            </w:r>
          </w:p>
        </w:tc>
        <w:tc>
          <w:tcPr>
            <w:tcW w:w="1516"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1.158.681,00</w:t>
            </w:r>
          </w:p>
        </w:tc>
        <w:tc>
          <w:tcPr>
            <w:tcW w:w="1380"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290.778,00</w:t>
            </w:r>
          </w:p>
        </w:tc>
        <w:tc>
          <w:tcPr>
            <w:tcW w:w="1394" w:type="dxa"/>
            <w:tcBorders/>
            <w:vAlign w:val="bottom"/>
          </w:tcPr>
          <w:p>
            <w:pPr>
              <w:pStyle w:val="Normal"/>
              <w:widowControl w:val="false"/>
              <w:tabs>
                <w:tab w:val="clear" w:pos="720"/>
              </w:tabs>
              <w:spacing w:before="0" w:after="160"/>
              <w:jc w:val="right"/>
              <w:rPr>
                <w:rFonts w:ascii="Times New Roman" w:hAnsi="Times New Roman"/>
                <w:sz w:val="22"/>
                <w:szCs w:val="22"/>
              </w:rPr>
            </w:pPr>
            <w:r>
              <w:rPr>
                <w:rFonts w:ascii="Times New Roman" w:hAnsi="Times New Roman"/>
                <w:sz w:val="22"/>
                <w:szCs w:val="22"/>
              </w:rPr>
              <w:t>2.560,00</w:t>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276" w:hRule="atLeast"/>
        </w:trPr>
        <w:tc>
          <w:tcPr>
            <w:tcW w:w="316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245"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516"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380"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394"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c>
          <w:tcPr>
            <w:tcW w:w="1302" w:type="dxa"/>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r>
          </w:p>
        </w:tc>
      </w:tr>
      <w:tr>
        <w:trPr>
          <w:trHeight w:val="600" w:hRule="atLeast"/>
        </w:trPr>
        <w:tc>
          <w:tcPr>
            <w:tcW w:w="10001" w:type="dxa"/>
            <w:gridSpan w:val="6"/>
            <w:tcBorders/>
            <w:vAlign w:val="bottom"/>
          </w:tcPr>
          <w:p>
            <w:pPr>
              <w:pStyle w:val="Normal"/>
              <w:widowControl w:val="false"/>
              <w:rPr>
                <w:rFonts w:ascii="Times New Roman" w:hAnsi="Times New Roman" w:cs="Times New Roman"/>
                <w:b/>
                <w:sz w:val="24"/>
                <w:szCs w:val="24"/>
                <w:lang w:val="ru-RU"/>
              </w:rPr>
            </w:pPr>
            <w:r>
              <w:rPr>
                <w:rFonts w:cs="Times New Roman" w:ascii="Times New Roman" w:hAnsi="Times New Roman"/>
                <w:b/>
                <w:sz w:val="24"/>
                <w:szCs w:val="24"/>
              </w:rPr>
              <w:t>III</w:t>
            </w:r>
            <w:r>
              <w:rPr>
                <w:rFonts w:cs="Times New Roman" w:ascii="Times New Roman" w:hAnsi="Times New Roman"/>
                <w:b/>
                <w:sz w:val="24"/>
                <w:szCs w:val="24"/>
                <w:lang w:val="ru-RU"/>
              </w:rPr>
              <w:t xml:space="preserve"> ЗАКЉУЧНА РАЗМАТРАЊА И НАПОМЕНЕ</w:t>
            </w:r>
          </w:p>
          <w:p>
            <w:pPr>
              <w:pStyle w:val="Normal"/>
              <w:widowControl w:val="false"/>
              <w:spacing w:before="0" w:after="160"/>
              <w:rPr>
                <w:rFonts w:ascii="Times New Roman" w:hAnsi="Times New Roman" w:cs="Times New Roman"/>
                <w:b/>
                <w:sz w:val="24"/>
                <w:szCs w:val="24"/>
                <w:lang w:val="ru-RU"/>
              </w:rPr>
            </w:pPr>
            <w:r>
              <w:rPr>
                <w:rFonts w:cs="Times New Roman" w:ascii="Times New Roman" w:hAnsi="Times New Roman"/>
                <w:b/>
                <w:sz w:val="24"/>
                <w:szCs w:val="24"/>
                <w:lang w:val="ru-RU"/>
              </w:rPr>
            </w:r>
          </w:p>
        </w:tc>
      </w:tr>
      <w:tr>
        <w:trPr>
          <w:trHeight w:val="1590" w:hRule="atLeast"/>
        </w:trPr>
        <w:tc>
          <w:tcPr>
            <w:tcW w:w="10001" w:type="dxa"/>
            <w:gridSpan w:val="6"/>
            <w:tcBorders/>
            <w:vAlign w:val="bottom"/>
          </w:tcPr>
          <w:p>
            <w:pPr>
              <w:pStyle w:val="Normal"/>
              <w:widowControl w:val="false"/>
              <w:tabs>
                <w:tab w:val="clear" w:pos="720"/>
              </w:tabs>
              <w:spacing w:before="0" w:after="160"/>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У периоду који се посматра кроз овај извештај видљиво је да је ситуација у којој се нашло предузеће, а тиче се исплате заосталог регреса запосленима по одлуци суда, довело до тога да је добит готово незнатне висине, а увек је на крају трећег квартала била изражена у знатно већем износу. Позитивно је то што смо ми добро планирали ову исплату, па се реализација не разликује готово ни мало од плана. Можемо бити задовољни што смо успели без поремећаја у пословању да извршимо све редовне, па и ову веома велику ванредну обавезу.</w:t>
            </w:r>
          </w:p>
        </w:tc>
      </w:tr>
    </w:tbl>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p>
    <w:p>
      <w:pPr>
        <w:pStyle w:val="Normal"/>
        <w:rPr>
          <w:rFonts w:ascii="Times New Roman" w:hAnsi="Times New Roman" w:cs="Times New Roman"/>
          <w:sz w:val="24"/>
          <w:szCs w:val="24"/>
          <w:lang w:val="ru-RU"/>
        </w:rPr>
      </w:pPr>
      <w:r>
        <w:rPr>
          <w:rFonts w:cs="Times New Roman" w:ascii="Times New Roman" w:hAnsi="Times New Roman"/>
          <w:sz w:val="24"/>
          <w:szCs w:val="24"/>
          <w:lang w:val="ru-RU"/>
        </w:rPr>
        <w:t xml:space="preserve">   </w:t>
      </w:r>
    </w:p>
    <w:p>
      <w:pPr>
        <w:pStyle w:val="Normal"/>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t xml:space="preserve">Дана </w:t>
      </w:r>
      <w:r>
        <w:rPr>
          <w:rFonts w:cs="Times New Roman" w:ascii="Times New Roman" w:hAnsi="Times New Roman"/>
          <w:sz w:val="24"/>
          <w:szCs w:val="24"/>
          <w:lang w:val="sr-RS"/>
        </w:rPr>
        <w:t>26.10.2023</w:t>
      </w:r>
      <w:r>
        <w:rPr>
          <w:rFonts w:cs="Times New Roman" w:ascii="Times New Roman" w:hAnsi="Times New Roman"/>
          <w:sz w:val="24"/>
          <w:szCs w:val="24"/>
          <w:lang w:val="ru-RU"/>
        </w:rPr>
        <w:t>.                                                          Момир Миоковић ,  директор</w:t>
      </w:r>
    </w:p>
    <w:p>
      <w:pPr>
        <w:pStyle w:val="Normal"/>
        <w:spacing w:before="0" w:after="0"/>
        <w:rPr>
          <w:rFonts w:ascii="Times New Roman" w:hAnsi="Times New Roman" w:cs="Times New Roman"/>
          <w:sz w:val="24"/>
          <w:szCs w:val="24"/>
          <w:lang w:val="ru-RU"/>
        </w:rPr>
      </w:pPr>
      <w:r>
        <w:rPr>
          <w:rFonts w:cs="Times New Roman" w:ascii="Times New Roman" w:hAnsi="Times New Roman"/>
          <w:sz w:val="24"/>
          <w:szCs w:val="24"/>
          <w:lang w:val="ru-RU"/>
        </w:rPr>
      </w:r>
    </w:p>
    <w:p>
      <w:pPr>
        <w:pStyle w:val="Normal"/>
        <w:spacing w:before="0" w:after="0"/>
        <w:rPr>
          <w:rFonts w:ascii="Times New Roman" w:hAnsi="Times New Roman" w:cs="Times New Roman"/>
          <w:sz w:val="24"/>
          <w:szCs w:val="24"/>
        </w:rPr>
      </w:pPr>
      <w:r>
        <w:rPr>
          <w:rFonts w:cs="Times New Roman" w:ascii="Times New Roman" w:hAnsi="Times New Roman"/>
          <w:sz w:val="24"/>
          <w:szCs w:val="24"/>
          <w:lang w:val="ru-RU"/>
        </w:rPr>
        <w:t xml:space="preserve">                                                                                      </w:t>
      </w:r>
      <w:r>
        <w:rPr>
          <w:rFonts w:cs="Times New Roman" w:ascii="Times New Roman" w:hAnsi="Times New Roman"/>
          <w:sz w:val="24"/>
          <w:szCs w:val="24"/>
          <w:lang w:val="ru-RU"/>
        </w:rPr>
        <w:t>_________</w:t>
      </w:r>
      <w:r>
        <w:rPr>
          <w:rFonts w:cs="Times New Roman" w:ascii="Times New Roman" w:hAnsi="Times New Roman"/>
          <w:sz w:val="24"/>
          <w:szCs w:val="24"/>
        </w:rPr>
        <w:t>_________</w:t>
      </w:r>
      <w:r>
        <w:rPr>
          <w:rFonts w:cs="Times New Roman" w:ascii="Times New Roman" w:hAnsi="Times New Roman"/>
          <w:sz w:val="24"/>
          <w:szCs w:val="24"/>
          <w:lang w:val="ru-RU"/>
        </w:rPr>
        <w:t xml:space="preserve">                                                                                                  </w:t>
      </w:r>
    </w:p>
    <w:sectPr>
      <w:headerReference w:type="default" r:id="rId3"/>
      <w:type w:val="nextPage"/>
      <w:pgSz w:w="12240" w:h="15840"/>
      <w:pgMar w:left="1440" w:right="1440" w:gutter="0" w:header="720" w:top="1440" w:footer="0" w:bottom="1440"/>
      <w:pgNumType w:start="0"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roman"/>
    <w:pitch w:val="variable"/>
  </w:font>
  <w:font w:name="Liberation Sans">
    <w:altName w:val="Arial"/>
    <w:charset w:val="ee"/>
    <w:family w:val="roman"/>
    <w:pitch w:val="variable"/>
  </w:font>
  <w:font w:name="Cirilica 80">
    <w:charset w:val="ee"/>
    <w:family w:val="roman"/>
    <w:pitch w:val="variable"/>
  </w:font>
  <w:font w:name="Times New Roman">
    <w:charset w:val="ee"/>
    <w:family w:val="roman"/>
    <w:pitch w:val="variable"/>
  </w:font>
  <w:font w:name="TimesC DzComm">
    <w:charset w:val="ee"/>
    <w:family w:val="roman"/>
    <w:pitch w:val="variable"/>
  </w:font>
  <w:font w:name="Arial">
    <w:charset w:val="ee"/>
    <w:family w:val="roman"/>
    <w:pitch w:val="variable"/>
  </w:font>
  <w:font w:name="Wingdings">
    <w:charset w:val="02"/>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65166337"/>
    </w:sdtPr>
    <w:sdtContent>
      <w:p>
        <w:pPr>
          <w:pStyle w:val="Header"/>
          <w:jc w:val="center"/>
          <w:rPr/>
        </w:pPr>
        <w:r>
          <w:rPr/>
        </w:r>
      </w:p>
      <w:p>
        <w:pPr>
          <w:pStyle w:val="Header"/>
          <w:jc w:val="center"/>
          <w:rPr/>
        </w:pPr>
        <w:r>
          <w:rPr/>
        </w:r>
      </w:p>
      <w:p>
        <w:pPr>
          <w:pStyle w:val="Header"/>
          <w:jc w:val="center"/>
          <w:rPr/>
        </w:pPr>
        <w:r>
          <w:rPr/>
        </w:r>
      </w:p>
    </w:sdtContent>
  </w:sdt>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30b2f"/>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f4195d"/>
    <w:rPr/>
  </w:style>
  <w:style w:type="character" w:styleId="FooterChar" w:customStyle="1">
    <w:name w:val="Footer Char"/>
    <w:basedOn w:val="DefaultParagraphFont"/>
    <w:link w:val="Footer"/>
    <w:uiPriority w:val="99"/>
    <w:qFormat/>
    <w:rsid w:val="00f4195d"/>
    <w:rPr/>
  </w:style>
  <w:style w:type="character" w:styleId="BodyTextChar" w:customStyle="1">
    <w:name w:val="Body Text Char"/>
    <w:basedOn w:val="DefaultParagraphFont"/>
    <w:qFormat/>
    <w:rsid w:val="00706a04"/>
    <w:rPr>
      <w:rFonts w:ascii="Liberation Serif" w:hAnsi="Liberation Serif" w:eastAsia="Lucida Sans Unicode" w:cs="Mangal"/>
      <w:kern w:val="2"/>
      <w:sz w:val="24"/>
      <w:szCs w:val="24"/>
      <w:lang w:val="sr-Latn-CS" w:eastAsia="zh-CN" w:bidi="hi-IN"/>
    </w:rPr>
  </w:style>
  <w:style w:type="character" w:styleId="BalloonTextChar" w:customStyle="1">
    <w:name w:val="Balloon Text Char"/>
    <w:basedOn w:val="DefaultParagraphFont"/>
    <w:link w:val="BalloonText"/>
    <w:uiPriority w:val="99"/>
    <w:semiHidden/>
    <w:qFormat/>
    <w:rsid w:val="000e441f"/>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706a04"/>
    <w:pPr>
      <w:suppressAutoHyphens w:val="true"/>
      <w:spacing w:lineRule="auto" w:line="288" w:before="0" w:after="140"/>
    </w:pPr>
    <w:rPr>
      <w:rFonts w:ascii="Liberation Serif" w:hAnsi="Liberation Serif" w:eastAsia="Lucida Sans Unicode" w:cs="Mangal"/>
      <w:kern w:val="2"/>
      <w:sz w:val="24"/>
      <w:szCs w:val="24"/>
      <w:lang w:val="sr-Latn-CS" w:eastAsia="zh-CN" w:bidi="hi-IN"/>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nhideWhenUsed/>
    <w:rsid w:val="00f4195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4195d"/>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af12d4"/>
    <w:pPr>
      <w:suppressAutoHyphens w:val="true"/>
      <w:spacing w:lineRule="auto" w:line="240" w:before="0" w:after="0"/>
      <w:ind w:left="720" w:hanging="0"/>
      <w:contextualSpacing/>
    </w:pPr>
    <w:rPr>
      <w:rFonts w:ascii="Cirilica 80" w:hAnsi="Cirilica 80" w:eastAsia="Times New Roman" w:cs="Times New Roman"/>
      <w:sz w:val="24"/>
      <w:szCs w:val="24"/>
      <w:lang w:eastAsia="ar-SA"/>
    </w:rPr>
  </w:style>
  <w:style w:type="paragraph" w:styleId="TableContents" w:customStyle="1">
    <w:name w:val="Table Contents"/>
    <w:basedOn w:val="Normal"/>
    <w:qFormat/>
    <w:rsid w:val="00e10f74"/>
    <w:pPr>
      <w:suppressLineNumbers/>
      <w:suppressAutoHyphens w:val="true"/>
      <w:spacing w:lineRule="auto" w:line="240" w:before="0" w:after="0"/>
      <w:jc w:val="both"/>
    </w:pPr>
    <w:rPr>
      <w:rFonts w:ascii="Times New Roman" w:hAnsi="Times New Roman" w:eastAsia="Calibri" w:cs="Times New Roman"/>
      <w:szCs w:val="20"/>
      <w:lang w:eastAsia="ar-SA"/>
    </w:rPr>
  </w:style>
  <w:style w:type="paragraph" w:styleId="NormalWeb">
    <w:name w:val="Normal (Web)"/>
    <w:basedOn w:val="Normal"/>
    <w:qFormat/>
    <w:rsid w:val="00e10f74"/>
    <w:pPr>
      <w:suppressAutoHyphens w:val="true"/>
      <w:spacing w:lineRule="auto" w:line="240" w:before="280" w:after="119"/>
    </w:pPr>
    <w:rPr>
      <w:rFonts w:ascii="Times New Roman" w:hAnsi="Times New Roman" w:eastAsia="Times New Roman" w:cs="Times New Roman"/>
      <w:sz w:val="24"/>
      <w:szCs w:val="24"/>
      <w:lang w:val="sr-Latn-CS" w:eastAsia="zh-CN"/>
    </w:rPr>
  </w:style>
  <w:style w:type="paragraph" w:styleId="Standard" w:customStyle="1">
    <w:name w:val="Standard"/>
    <w:qFormat/>
    <w:rsid w:val="001830b8"/>
    <w:pPr>
      <w:widowControl/>
      <w:suppressAutoHyphens w:val="true"/>
      <w:overflowPunct w:val="true"/>
      <w:bidi w:val="0"/>
      <w:spacing w:lineRule="auto" w:line="240" w:before="0" w:after="0"/>
      <w:jc w:val="both"/>
    </w:pPr>
    <w:rPr>
      <w:rFonts w:ascii="Times New Roman" w:hAnsi="Times New Roman" w:eastAsia="Calibri" w:cs="Times New Roman"/>
      <w:color w:val="00000A"/>
      <w:kern w:val="2"/>
      <w:sz w:val="22"/>
      <w:szCs w:val="20"/>
      <w:lang w:val="en-US" w:eastAsia="zh-CN" w:bidi="ar-SA"/>
    </w:rPr>
  </w:style>
  <w:style w:type="paragraph" w:styleId="BalloonText">
    <w:name w:val="Balloon Text"/>
    <w:basedOn w:val="Normal"/>
    <w:link w:val="BalloonTextChar"/>
    <w:uiPriority w:val="99"/>
    <w:semiHidden/>
    <w:unhideWhenUsed/>
    <w:qFormat/>
    <w:rsid w:val="000e441f"/>
    <w:pPr>
      <w:spacing w:lineRule="auto" w:line="240" w:before="0" w:after="0"/>
    </w:pPr>
    <w:rPr>
      <w:rFonts w:ascii="Segoe UI" w:hAnsi="Segoe UI" w:cs="Segoe UI"/>
      <w:sz w:val="18"/>
      <w:szCs w:val="18"/>
    </w:rPr>
  </w:style>
  <w:style w:type="paragraph" w:styleId="HeadEng" w:customStyle="1">
    <w:name w:val="HeadEng"/>
    <w:basedOn w:val="Normal"/>
    <w:qFormat/>
    <w:rsid w:val="004572a1"/>
    <w:pPr>
      <w:spacing w:lineRule="auto" w:line="240" w:before="0" w:after="0"/>
      <w:jc w:val="both"/>
    </w:pPr>
    <w:rPr>
      <w:rFonts w:ascii="Times New Roman" w:hAnsi="Times New Roman" w:eastAsia="Calibri" w:cs="Times New Roman"/>
      <w:szCs w:val="20"/>
    </w:rPr>
  </w:style>
  <w:style w:type="paragraph" w:styleId="HeadCir" w:customStyle="1">
    <w:name w:val="HeadCir"/>
    <w:basedOn w:val="Normal"/>
    <w:qFormat/>
    <w:rsid w:val="004572a1"/>
    <w:pPr>
      <w:spacing w:lineRule="auto" w:line="240" w:before="0" w:after="0"/>
      <w:jc w:val="both"/>
    </w:pPr>
    <w:rPr>
      <w:rFonts w:ascii="TimesC DzComm" w:hAnsi="TimesC DzComm" w:eastAsia="Calibri" w:cs="Times New Roman"/>
      <w:szCs w:val="20"/>
    </w:rPr>
  </w:style>
  <w:style w:type="paragraph" w:styleId="NoSpacing1" w:customStyle="1">
    <w:name w:val="No Spacing1"/>
    <w:qFormat/>
    <w:rsid w:val="00b337b8"/>
    <w:pPr>
      <w:widowControl/>
      <w:suppressAutoHyphens w:val="true"/>
      <w:bidi w:val="0"/>
      <w:spacing w:lineRule="auto" w:line="240" w:before="0" w:after="0"/>
      <w:jc w:val="left"/>
    </w:pPr>
    <w:rPr>
      <w:rFonts w:ascii="Calibri" w:hAnsi="Calibri" w:eastAsia="Calibri" w:cs="Calibri" w:asciiTheme="minorHAnsi" w:eastAsiaTheme="minorHAnsi" w:hAnsiTheme="minorHAnsi"/>
      <w:color w:val="auto"/>
      <w:kern w:val="0"/>
      <w:sz w:val="22"/>
      <w:szCs w:val="22"/>
      <w:lang w:val="en-US" w:eastAsia="zh-CN" w:bidi="ar-SA"/>
    </w:rPr>
  </w:style>
  <w:style w:type="paragraph" w:styleId="TableHeading">
    <w:name w:val="Table Heading"/>
    <w:basedOn w:val="TableContents"/>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rsid w:val="00c67a47"/>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8BAC99-8D5F-4FF4-BB9C-BD3B4E73E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Application>LibreOffice/7.5.4.2$Windows_X86_64 LibreOffice_project/36ccfdc35048b057fd9854c757a8b67ec53977b6</Application>
  <AppVersion>15.0000</AppVersion>
  <Pages>8</Pages>
  <Words>2182</Words>
  <Characters>12580</Characters>
  <CharactersWithSpaces>17897</CharactersWithSpaces>
  <Paragraphs>207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2023-07-05T09:01:00Z</dcterms:created>
  <dc:creator>Iva Pegan</dc:creator>
  <dc:description/>
  <dc:language>en-US</dc:language>
  <cp:lastModifiedBy/>
  <cp:lastPrinted>2023-10-25T14:02:49Z</cp:lastPrinted>
  <dcterms:modified xsi:type="dcterms:W3CDTF">2023-10-25T14:28:58Z</dcterms:modified>
  <cp:revision>78</cp:revision>
  <dc:subject/>
  <dc:title/>
</cp:coreProperties>
</file>

<file path=docProps/custom.xml><?xml version="1.0" encoding="utf-8"?>
<Properties xmlns="http://schemas.openxmlformats.org/officeDocument/2006/custom-properties" xmlns:vt="http://schemas.openxmlformats.org/officeDocument/2006/docPropsVTypes"/>
</file>